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658FB">
      <w:pPr>
        <w:pStyle w:val="1"/>
      </w:pPr>
      <w:r>
        <w:fldChar w:fldCharType="begin"/>
      </w:r>
      <w:r>
        <w:instrText>HYPERLINK "https://demo.garant.ru/document/redirect/70611024/0"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15 января 2014 г. N 14 "О</w:t>
      </w:r>
      <w:r>
        <w:rPr>
          <w:rStyle w:val="a4"/>
          <w:b w:val="0"/>
          <w:bCs w:val="0"/>
        </w:rPr>
        <w:t>б утверждении показателей мониторинга системы образования" (с изменениями и дополнениями) (утратил силу)</w:t>
      </w:r>
      <w:r>
        <w:fldChar w:fldCharType="end"/>
      </w:r>
    </w:p>
    <w:p w:rsidR="00000000" w:rsidRDefault="004658FB">
      <w:pPr>
        <w:pStyle w:val="ab"/>
      </w:pPr>
      <w:r>
        <w:t>С изменениями и дополнениями от:</w:t>
      </w:r>
    </w:p>
    <w:p w:rsidR="00000000" w:rsidRDefault="004658F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марта, 12 октября 2015 г., 29 июня, 9 ноября 2016 г.</w:t>
      </w:r>
    </w:p>
    <w:p w:rsidR="00000000" w:rsidRDefault="004658F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658FB">
      <w:pPr>
        <w:pStyle w:val="a6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22 сентября 2017 г. N 955 настоящий приказ признан утратившим силу с 1 января 2018 г.</w:t>
      </w:r>
    </w:p>
    <w:p w:rsidR="00000000" w:rsidRDefault="004658FB">
      <w:r>
        <w:t xml:space="preserve">В соответствии с </w:t>
      </w:r>
      <w:hyperlink r:id="rId8" w:history="1">
        <w:r>
          <w:rPr>
            <w:rStyle w:val="a4"/>
          </w:rPr>
          <w:t>пунктом 4</w:t>
        </w:r>
      </w:hyperlink>
      <w:r>
        <w:t xml:space="preserve"> Правил осуществления мониторинга системы образования,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 г. N 662 "Об осуществлении мони</w:t>
      </w:r>
      <w:r>
        <w:t>торинга системы образования" (Собрание законодательства Российской Федерации, 2013, N 33, ст.4378), приказываю:</w:t>
      </w:r>
    </w:p>
    <w:p w:rsidR="00000000" w:rsidRDefault="004658FB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показатели</w:t>
        </w:r>
      </w:hyperlink>
      <w:r>
        <w:t xml:space="preserve"> мониторинга системы образования.</w:t>
      </w:r>
    </w:p>
    <w:bookmarkEnd w:id="1"/>
    <w:p w:rsidR="00000000" w:rsidRDefault="004658F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658FB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4658FB"/>
    <w:p w:rsidR="00000000" w:rsidRDefault="004658FB">
      <w:pPr>
        <w:pStyle w:val="ac"/>
      </w:pPr>
      <w:r>
        <w:t>Зарегистрировано в</w:t>
      </w:r>
      <w:r>
        <w:t xml:space="preserve"> Минюсте РФ 6 марта 2014 г.</w:t>
      </w:r>
    </w:p>
    <w:p w:rsidR="00000000" w:rsidRDefault="004658FB">
      <w:pPr>
        <w:pStyle w:val="ac"/>
      </w:pPr>
      <w:r>
        <w:t>Регистрационный N 31528</w:t>
      </w:r>
    </w:p>
    <w:p w:rsidR="00000000" w:rsidRDefault="004658FB"/>
    <w:p w:rsidR="00000000" w:rsidRDefault="004658F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4658FB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ноября 2016 г. N 1399 в приложение внесены изменения</w:t>
      </w:r>
    </w:p>
    <w:p w:rsidR="00000000" w:rsidRDefault="004658FB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658FB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4658FB"/>
    <w:p w:rsidR="00000000" w:rsidRDefault="004658FB">
      <w:pPr>
        <w:pStyle w:val="1"/>
      </w:pPr>
      <w:r>
        <w:t>Показатели</w:t>
      </w:r>
      <w:r>
        <w:br/>
        <w:t>мониторинга системы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15 января 2014 г</w:t>
      </w:r>
      <w:r>
        <w:t>. N 14)</w:t>
      </w:r>
    </w:p>
    <w:p w:rsidR="00000000" w:rsidRDefault="004658FB">
      <w:pPr>
        <w:pStyle w:val="ab"/>
      </w:pPr>
      <w:r>
        <w:t>С изменениями и дополнениями от:</w:t>
      </w:r>
    </w:p>
    <w:p w:rsidR="00000000" w:rsidRDefault="004658F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марта, 12 октября 2015 г., 29 июня, 9 ноября 2016 г.</w:t>
      </w:r>
    </w:p>
    <w:p w:rsidR="00000000" w:rsidRDefault="004658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7"/>
        <w:gridCol w:w="22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a"/>
              <w:jc w:val="center"/>
            </w:pPr>
            <w:r>
              <w:t>Раздел/подраздел/показатель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  <w:jc w:val="center"/>
            </w:pPr>
            <w:r>
              <w:t>Единица измерения/форма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3" w:name="sub_100"/>
            <w:r>
              <w:t>I. Общее образование</w:t>
            </w:r>
            <w:bookmarkEnd w:id="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4" w:name="sub_101"/>
            <w:r>
              <w:t>1. Сведения о развитии дошкольного образования</w:t>
            </w:r>
            <w:bookmarkEnd w:id="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" w:name="sub_11"/>
            <w:r>
              <w:t>1.1. Уровень доступности дошкольного образования и численность населения, получающего дошкольное образование:</w:t>
            </w:r>
            <w:bookmarkEnd w:id="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" w:name="sub_111"/>
            <w:r>
              <w:t xml:space="preserve">1.1.1. Доступность дошкольного образования (отношение </w:t>
            </w:r>
            <w:r>
              <w:lastRenderedPageBreak/>
              <w:t>численности детей в возрасте от 3 до 7 лет, получивших дошкольное обр</w:t>
            </w:r>
            <w:r>
              <w:t>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образования).</w:t>
            </w:r>
            <w:bookmarkEnd w:id="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" w:name="sub_112"/>
            <w: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</w:t>
            </w:r>
            <w:r>
              <w:t>ть детей соответствующих возрастов, обучающихся в общеобразовательных организациях).</w:t>
            </w:r>
            <w:bookmarkEnd w:id="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" w:name="sub_113"/>
            <w: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</w:t>
            </w:r>
            <w:r>
              <w:t>льных организаций.</w:t>
            </w:r>
            <w:bookmarkEnd w:id="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" w:name="sub_12"/>
            <w: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" w:name="sub_121"/>
            <w:r>
              <w:t xml:space="preserve">1.2.1. Удельный вес численности детей, обучающихся в группах </w:t>
            </w:r>
            <w:r>
              <w:t>кратковременного пребывания, в общей численности воспитанников дошкольных образовательных организаций.</w:t>
            </w:r>
            <w:bookmarkEnd w:id="1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" w:name="sub_13"/>
            <w: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  <w:bookmarkEnd w:id="1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" w:name="sub_131"/>
            <w:r>
              <w:t>1.3.1. Численность воспитанников организаций дошкольного образования в расчете на 1 педагогического работника.</w:t>
            </w:r>
            <w:bookmarkEnd w:id="1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3" w:name="sub_132"/>
            <w:r>
              <w:t>1.3.2. Отношение среднемесячной заработной платы педагогических работник</w:t>
            </w:r>
            <w:r>
              <w:t>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1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" w:name="sub_14"/>
            <w:r>
              <w:t>1.4. Материально-техническое и и</w:t>
            </w:r>
            <w:r>
              <w:t>нформационное обеспечение дошкольных образовательных организаций</w:t>
            </w:r>
            <w:bookmarkEnd w:id="1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" w:name="sub_141"/>
            <w:r>
              <w:t>1.4.1. Площадь помещений, используемых непосредственно для нужд дошкольных образовательных организаций, в расчете на одного воспитанника.</w:t>
            </w:r>
            <w:bookmarkEnd w:id="1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квадратный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" w:name="sub_142"/>
            <w: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  <w:bookmarkEnd w:id="1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водоснабжение;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центральное отопление;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канализацию.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" w:name="sub_143"/>
            <w:r>
              <w:t>1.4.3. Уде</w:t>
            </w:r>
            <w:r>
              <w:t xml:space="preserve">льный вес числа организаций, имеющих </w:t>
            </w:r>
            <w:r>
              <w:lastRenderedPageBreak/>
              <w:t>физкультурные залы, в общем числе дошкольных образовательных организаций.</w:t>
            </w:r>
            <w:bookmarkEnd w:id="1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" w:name="sub_144"/>
            <w: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  <w:bookmarkEnd w:id="1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" w:name="sub_145"/>
            <w:r>
              <w:t>1.4.5. Число персональных компьютеров, доступных для использования детьми, в расчете на 100 воспитан</w:t>
            </w:r>
            <w:r>
              <w:t>ников дошкольных образовательных организаций.</w:t>
            </w:r>
            <w:bookmarkEnd w:id="1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" w:name="sub_15"/>
            <w:r>
              <w:t>1.5. Условия получения дошкольного образования лицами с ограниченными возможностями здоровья и инвалидами</w:t>
            </w:r>
            <w:bookmarkEnd w:id="2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" w:name="sub_151"/>
            <w:r>
              <w:t>1.5.1. Удельный вес численности детей с ограниченными возможностями</w:t>
            </w:r>
            <w:r>
              <w:t xml:space="preserve"> здоровья в общей численности воспитанников дошкольных образовательных организаций.</w:t>
            </w:r>
            <w:bookmarkEnd w:id="2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" w:name="sub_152"/>
            <w: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  <w:bookmarkEnd w:id="2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3" w:name="sub_153"/>
            <w:r>
              <w:t>1.5.</w:t>
            </w:r>
            <w:r>
              <w:t>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  <w:bookmarkEnd w:id="2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группы компенсирующей направленности, в том числе для воспитанников: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слуха: глухие, слабослышащие, позднооглохшие;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тяжелыми нарушениями речи;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зрения: слепые, слабовидящие;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умственной отсталостью (интеллектуальными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задержкой психического развития;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опорно-двигательного аппарата;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расстройствами аутистического спектра;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 сложными дефектами (множественными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другими ограниченными возможностями здоровья.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группы оздоровительной направленности, в том числе для воспитанников: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туберкулезной и</w:t>
            </w:r>
            <w:r>
              <w:t>нтоксикацией;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часто болеющих;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других категорий, нуждающихся в длительном лечении и проведении специальных лечебно-оздоровительных мероприятий.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группы комбинированной направленности.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4" w:name="sub_154"/>
            <w: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</w:t>
            </w:r>
            <w:r>
              <w:lastRenderedPageBreak/>
              <w:t>образовательных о</w:t>
            </w:r>
            <w:r>
              <w:t>рганизаций, по видам групп:</w:t>
            </w:r>
            <w:bookmarkEnd w:id="2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группы компенсирующей направленности, в том числе для воспитанников: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слуха: глухие, слабослышащие, позднооглохшие;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тяжелыми нарушениями речи;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зрения: слепые, слабовидящие;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умственной отсталостью (интеллектуальными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зад</w:t>
            </w:r>
            <w:r>
              <w:t>ержкой психического развития;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опорно-двигательного аппарата;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расстройствами аутистического спектра;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 сложными дефектами (множественными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другими ограниченными возможностями здоровья.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группы оздоровительной направленности, в том числе для воспитанников: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туберкулезной интоксикацией;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часто болеющих;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других категорий, нуждающихся в длительном лечении и проведении специальных лечебно-оздоровител</w:t>
            </w:r>
            <w:r>
              <w:t>ьных мероприятий.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группы комбинированной направленности.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5" w:name="sub_155"/>
            <w:r>
              <w:t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2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" w:name="sub_16"/>
            <w:r>
              <w:t>1.6. Состояние здоровья лиц, об</w:t>
            </w:r>
            <w:r>
              <w:t>учающихся по программам дошкольного образования</w:t>
            </w:r>
            <w:bookmarkEnd w:id="2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7" w:name="sub_161"/>
            <w:r>
              <w:t>1.6.1. Пропущено дней по болезни одним ребенком в дошкольной образовательной организации в год.</w:t>
            </w:r>
            <w:bookmarkEnd w:id="2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8" w:name="sub_17"/>
            <w: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9" w:name="sub_171"/>
            <w:r>
              <w:t>1.7.1. Темп роста числа дошкольных образовательных организаций.</w:t>
            </w:r>
            <w:bookmarkEnd w:id="2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0" w:name="sub_18"/>
            <w:r>
              <w:t>1.8. Финансово-экономическая деятельность дошкольных образовательных организаций</w:t>
            </w:r>
            <w:bookmarkEnd w:id="3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" w:name="sub_181"/>
            <w: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  <w:bookmarkEnd w:id="3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2" w:name="sub_182"/>
            <w: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  <w:bookmarkEnd w:id="3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3" w:name="sub_19"/>
            <w:r>
              <w:t xml:space="preserve">1.9. Создание безопасных условий при организации </w:t>
            </w:r>
            <w:r>
              <w:lastRenderedPageBreak/>
              <w:t>образовательного процесса в дошкольных образовательных организациях</w:t>
            </w:r>
            <w:bookmarkEnd w:id="3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4" w:name="sub_191"/>
            <w:r>
              <w:t>1.9.1. Удельный вес числа организаций, здания которых находятся в аварийном состоянии, в общем числе дошкольных образователь</w:t>
            </w:r>
            <w:r>
              <w:t>ных организаций.</w:t>
            </w:r>
            <w:bookmarkEnd w:id="3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5" w:name="sub_192"/>
            <w: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  <w:bookmarkEnd w:id="3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36" w:name="sub_102"/>
            <w:r>
              <w:t>2. Сведения о развитии начального общего образования, о</w:t>
            </w:r>
            <w:r>
              <w:t>сновного общего образования и среднего общего образования</w:t>
            </w:r>
            <w:bookmarkEnd w:id="3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7" w:name="sub_21"/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</w:t>
            </w:r>
            <w:r>
              <w:t xml:space="preserve"> и среднее общее образование</w:t>
            </w:r>
            <w:bookmarkEnd w:id="3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8" w:name="sub_211"/>
            <w: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</w:t>
            </w:r>
            <w:r>
              <w:t>ования, к численности детей в возрасте 7-17 лет).</w:t>
            </w:r>
            <w:bookmarkEnd w:id="3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9" w:name="sub_212"/>
            <w: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  <w:bookmarkEnd w:id="3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0" w:name="sub_213"/>
            <w:r>
              <w:t>2.1.3. Оценк</w:t>
            </w:r>
            <w:r>
              <w:t>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</w:t>
            </w:r>
            <w:r>
              <w:t>ей численности родителей учащихся общеобразовательных организаций).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4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1" w:name="sub_22"/>
            <w:r>
              <w:t>2.2. Содержание образовательной деятельности и организация образовательного процесса по образовательным программам начального общего об</w:t>
            </w:r>
            <w:r>
              <w:t>разования, основного общего образования и среднего общего образования</w:t>
            </w:r>
            <w:bookmarkEnd w:id="4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2" w:name="sub_221"/>
            <w: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  <w:bookmarkEnd w:id="4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43" w:name="sub_222"/>
            <w:r>
              <w:t>2.2.2. У</w:t>
            </w:r>
            <w:r>
              <w:t>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  <w:bookmarkEnd w:id="4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4" w:name="sub_23"/>
            <w:r>
              <w:t xml:space="preserve">2.3. Кадровое обеспечение общеобразовательных организаций, иных организаций, осуществляющих </w:t>
            </w:r>
            <w:r>
              <w:lastRenderedPageBreak/>
              <w:t>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5" w:name="sub_231"/>
            <w:r>
              <w:t>2.3.1. Численность учащихся в общеобразовательных организациях в расчете на 1 педагогического работника.</w:t>
            </w:r>
            <w:bookmarkEnd w:id="4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6" w:name="sub_232"/>
            <w: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  <w:bookmarkEnd w:id="4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7" w:name="sub_233"/>
            <w: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</w:t>
            </w:r>
            <w:r>
              <w:t>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4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педагогических работников - 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из них </w:t>
            </w:r>
            <w:r>
              <w:t>учителей.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8" w:name="sub_24"/>
            <w: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4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49" w:name="sub_241"/>
            <w:r>
              <w:t>2.4.1. Общая площадь всех помещений общеобразовательных организаций в расчете на одного учащегося.</w:t>
            </w:r>
            <w:bookmarkEnd w:id="4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квадратный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0" w:name="sub_242"/>
            <w:r>
              <w:t>2.4.2. Удельный вес числа организаций, имеющих водопровод, центральное отопление, канализацию, в общем числе общеобразовател</w:t>
            </w:r>
            <w:r>
              <w:t>ьных организаций:</w:t>
            </w:r>
            <w:bookmarkEnd w:id="5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водопровод;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центральное отопление;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канализацию.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1" w:name="sub_243"/>
            <w: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  <w:bookmarkEnd w:id="5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имеющих доступ к Интернету.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52" w:name="sub_244"/>
            <w: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  <w:bookmarkEnd w:id="5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3" w:name="sub_25"/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5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4" w:name="sub_251"/>
            <w:r>
              <w:t>2.5.1. Удельный вес численности детей с ограниченными возможностями зд</w:t>
            </w:r>
            <w:r>
              <w:t xml:space="preserve">оровья, обучающихся в классах, не являющихся специальными (коррекционными), </w:t>
            </w:r>
            <w:r>
              <w:lastRenderedPageBreak/>
              <w:t>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  <w:bookmarkEnd w:id="5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5" w:name="sub_252"/>
            <w: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  <w:bookmarkEnd w:id="5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56" w:name="sub_253"/>
            <w:r>
              <w:t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</w:t>
            </w:r>
            <w:r>
              <w:t>м программам (за исключением детей-инвалидов):</w:t>
            </w:r>
            <w:bookmarkEnd w:id="5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слуха: глухие, слабослышащие, позднооглохшие;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тяжелыми нарушениями речи;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</w:t>
            </w:r>
            <w:r>
              <w:t xml:space="preserve"> нарушениями зрения: слепые, слабовидящие;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умственной отсталостью (интеллектуальными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задержкой психического развития;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опорно-двигательного аппарата;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расстройствами аутистического спектра;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 сложными дефектами (множественными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другими ограниченными возможностями здоровья.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57" w:name="sub_254"/>
            <w:r>
      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</w:t>
            </w:r>
            <w:r>
              <w:t>х, осуществляющих обучение по адаптированным основным общеобразовательным программам:</w:t>
            </w:r>
            <w:bookmarkEnd w:id="5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слуха: глухие, слабослышащие, позднооглохшие;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тяжелыми нарушениями речи;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</w:t>
            </w:r>
            <w:r>
              <w:t>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зрения: слепые, слабовидящие;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умственной отсталостью (интеллектуальными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задержкой психического развития;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нарушениями опорно-двигательного аппарата;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расстройствами аутистического спектра;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 сложными дефектами (множественными нарушениями);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 другими ограниченными возможностями здоровья.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58" w:name="sub_255"/>
            <w:r>
              <w:t>2.5.5. Укомплектованность отдельных общеобразовательных организаций, осуществляющих обуч</w:t>
            </w:r>
            <w:r>
              <w:t xml:space="preserve">ение по адаптированным основным общеобразовательным программам </w:t>
            </w:r>
            <w:r>
              <w:lastRenderedPageBreak/>
              <w:t>педагогическими работниками:</w:t>
            </w:r>
            <w:bookmarkEnd w:id="5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всего;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учителя-дефектологи;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педагоги-психологи;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учителя-логопеды;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социальные педагоги;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тьюторы.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59" w:name="sub_26"/>
            <w:r>
              <w:t>2.6. Результаты аттестации лиц, обучающихся по о</w:t>
            </w:r>
            <w:r>
              <w:t>бразовательным программам начального общего образования, основного общего образования и среднего общего образования</w:t>
            </w:r>
            <w:bookmarkEnd w:id="5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0" w:name="sub_261"/>
            <w: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  <w:hyperlink w:anchor="sub_10001" w:history="1">
              <w:r>
                <w:rPr>
                  <w:rStyle w:val="a4"/>
                </w:rPr>
                <w:t>*</w:t>
              </w:r>
            </w:hyperlink>
            <w:bookmarkEnd w:id="6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1" w:name="sub_262"/>
            <w: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  <w:bookmarkEnd w:id="6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математике;</w:t>
            </w:r>
            <w:hyperlink w:anchor="sub_10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русскому яз</w:t>
            </w:r>
            <w:r>
              <w:t>ыку.</w:t>
            </w:r>
            <w:hyperlink w:anchor="sub_10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2" w:name="sub_263"/>
            <w: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  <w:bookmarkEnd w:id="6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математике</w:t>
            </w:r>
            <w:r>
              <w:t>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русскому языку.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3" w:name="sub_264"/>
            <w: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</w:t>
            </w:r>
            <w:r>
              <w:t>вания, сдававших ЕГЭ:</w:t>
            </w:r>
            <w:bookmarkEnd w:id="6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математике;</w:t>
            </w:r>
            <w:hyperlink w:anchor="sub_10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русскому языку.</w:t>
            </w:r>
            <w:hyperlink w:anchor="sub_10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64" w:name="sub_265"/>
            <w:r>
              <w:t>2.6.5. Удельный вес численности выпускников, освоивших образовательные программы основного общего образования,</w:t>
            </w:r>
            <w:r>
              <w:t xml:space="preserve">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  <w:bookmarkEnd w:id="6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математике;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 русскому языку.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5" w:name="sub_27"/>
            <w:r>
              <w:t xml:space="preserve"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</w:t>
            </w:r>
            <w:r>
              <w:lastRenderedPageBreak/>
              <w:t>также в иных организациях, осуществ</w:t>
            </w:r>
            <w:r>
              <w:t>ляющих образовательную деятельность в части реализации основных общеобразовательных программ</w:t>
            </w:r>
            <w:bookmarkEnd w:id="6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6" w:name="sub_271"/>
            <w:r>
              <w:t>2.7.1. Удельный вес лиц, обеспеченных горячим питанием, в общей численности обучающихся общеобразовательных организаций.</w:t>
            </w:r>
            <w:bookmarkEnd w:id="6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7" w:name="sub_272"/>
            <w: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  <w:bookmarkEnd w:id="6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8" w:name="sub_273"/>
            <w:r>
              <w:t>2.7.3. Удельный вес числа организаций, имеющих физкультурные залы, в общем числе общеобраз</w:t>
            </w:r>
            <w:r>
              <w:t>овательных организаций.</w:t>
            </w:r>
            <w:bookmarkEnd w:id="6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69" w:name="sub_274"/>
            <w:r>
              <w:t>2.7.4. Удельный вес числа организаций, имеющих плавательные бассейны, в общем числе общеобразовательных организаций.</w:t>
            </w:r>
            <w:bookmarkEnd w:id="6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0" w:name="sub_28"/>
            <w:r>
              <w:t>2.8. Изменение сети организаций, осуществляющих образовательную деятел</w:t>
            </w:r>
            <w:r>
              <w:t>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1" w:name="sub_281"/>
            <w:r>
              <w:t>2.8.1. Темп роста числа общеобразовательных организаций.</w:t>
            </w:r>
            <w:bookmarkEnd w:id="7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2" w:name="sub_29"/>
            <w: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3" w:name="sub_291"/>
            <w:r>
              <w:t xml:space="preserve">2.9.1. Общий объем финансовых средств, </w:t>
            </w:r>
            <w:r>
              <w:t>поступивших в общеобразовательные организации, в расчете на одного учащегося.</w:t>
            </w:r>
            <w:bookmarkEnd w:id="7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4" w:name="sub_292"/>
            <w: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  <w:bookmarkEnd w:id="7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</w:t>
            </w:r>
            <w:r>
              <w:t>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5" w:name="sub_210"/>
            <w: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7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76" w:name="sub_2101"/>
            <w:r>
              <w:t>2.10.1. Удельный вес числа организаций, имеющих пожарные краны и рукава, в общем числе общеобразовательных организа</w:t>
            </w:r>
            <w:r>
              <w:t>ций.</w:t>
            </w:r>
            <w:bookmarkEnd w:id="7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7" w:name="sub_2102"/>
            <w:r>
              <w:t>2.10.2. Удельный вес числа организаций, имеющих дымовые извещатели, в общем числе общеобразовательных организаций.</w:t>
            </w:r>
            <w:bookmarkEnd w:id="7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8" w:name="sub_2103"/>
            <w:r>
              <w:t>2.10.3. Удельный вес числа организаций, имеющих "тревожную кнопку", в общем числе общеобразовательных организаций.</w:t>
            </w:r>
            <w:bookmarkEnd w:id="7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79" w:name="sub_2104"/>
            <w:r>
              <w:t>2.10.4. Удельный вес числа организаций, имеющих охрану, в общем числе общеобразовательных организаций.</w:t>
            </w:r>
            <w:bookmarkEnd w:id="7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</w:t>
            </w:r>
            <w:r>
              <w:t>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0" w:name="sub_2105"/>
            <w:r>
              <w:lastRenderedPageBreak/>
              <w:t>2.10.5. Удельный вес числа организаций, имеющих систему видеонаблюдения, в общем числе общеобразовательных организаций.</w:t>
            </w:r>
            <w:bookmarkEnd w:id="8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1" w:name="sub_2106"/>
            <w: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  <w:bookmarkEnd w:id="8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2" w:name="sub_2107"/>
            <w:r>
              <w:t>2.10.7. Удельный вес числа организаций, здания которых требуют капитального ремонта, в общем чис</w:t>
            </w:r>
            <w:r>
              <w:t>ле общеобразовательных организаций.</w:t>
            </w:r>
            <w:bookmarkEnd w:id="8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83" w:name="sub_200"/>
            <w:r>
              <w:t>II. Профессиональное образование</w:t>
            </w:r>
            <w:bookmarkEnd w:id="8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84" w:name="sub_203"/>
            <w:r>
              <w:t>3. Сведения о развитии среднего профессионального образования</w:t>
            </w:r>
            <w:bookmarkEnd w:id="8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5" w:name="sub_31"/>
            <w:r>
              <w:t>3.1. Уровень доступности среднего профессионального образования и числ</w:t>
            </w:r>
            <w:r>
              <w:t>енность населения, получающего среднее профессиональное образование</w:t>
            </w:r>
            <w:bookmarkEnd w:id="8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6" w:name="sub_311"/>
            <w: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</w:t>
            </w:r>
            <w:r>
              <w:t>ости населения в возрасте 15-17 лет).</w:t>
            </w:r>
            <w:bookmarkEnd w:id="8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7" w:name="sub_312"/>
            <w: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</w:t>
            </w:r>
            <w:r>
              <w:t>готовки специалистов среднего звена к численности населения в возрасте 15-19 лет).</w:t>
            </w:r>
            <w:bookmarkEnd w:id="8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88" w:name="sub_313"/>
            <w: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</w:t>
            </w:r>
            <w:r>
              <w:t>ий в расчете на 100 бюджетных мест. 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8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89" w:name="sub_32"/>
            <w: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  <w:bookmarkEnd w:id="8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0" w:name="sub_321"/>
            <w:r>
              <w:t>3.2.1. 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</w:t>
            </w:r>
            <w:r>
              <w:t>щей численности выпускников получивших среднее профессиональное образование по программам подготовки специалистов среднего звена.</w:t>
            </w:r>
            <w:bookmarkEnd w:id="9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91" w:name="sub_322"/>
            <w:r>
              <w:t>3.2.2. Удельный вес численности лиц, обучающихся по образовательным программам среднего профессионально</w:t>
            </w:r>
            <w:r>
              <w:t xml:space="preserve">го </w:t>
            </w:r>
            <w:r>
              <w:lastRenderedPageBreak/>
              <w:t>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</w:t>
            </w:r>
            <w:r>
              <w:t xml:space="preserve"> - программам подготовки квалифицированных рабочих, служащих:</w:t>
            </w:r>
            <w:bookmarkEnd w:id="9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на базе основного общего образования;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на базе среднего общего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2" w:name="sub_323"/>
            <w: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</w:t>
            </w:r>
            <w:r>
              <w:t>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  <w:bookmarkEnd w:id="9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на базе основного общего образования;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на базе среднего общего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3" w:name="sub_324"/>
            <w:r>
              <w:t>3.2.4. Удельный вес численности студентов очной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служащих.</w:t>
            </w:r>
            <w:bookmarkEnd w:id="9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</w:t>
            </w:r>
            <w: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4" w:name="sub_325"/>
            <w: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</w:t>
            </w:r>
            <w:r>
              <w:t>рмы обучения,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  <w:bookmarkEnd w:id="9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очная форма обучения;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очно-заочная форма обучения;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заочная форма обучения.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5" w:name="sub_326"/>
            <w:r>
              <w:t>3.2.6 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</w:t>
            </w:r>
            <w:r>
              <w:t>в среднего звена.</w:t>
            </w:r>
            <w:bookmarkEnd w:id="9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6" w:name="sub_33"/>
            <w:r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</w:t>
            </w:r>
            <w:r>
              <w:t>нка уровня заработной платы педагогических работников</w:t>
            </w:r>
            <w:bookmarkEnd w:id="9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97" w:name="sub_331"/>
            <w:r>
              <w:t xml:space="preserve">3.3.1. Удельный вес численности лиц, имеющих высшее </w:t>
            </w:r>
            <w:r>
              <w:lastRenderedPageBreak/>
              <w:t>образование, в общей численности педагогических работников (без внешних совместителей и работающих по договорам гражданско-правового ха</w:t>
            </w:r>
            <w:r>
              <w:t>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  <w:bookmarkEnd w:id="9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преподаватели.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8" w:name="sub_332"/>
            <w:r>
              <w:t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</w:t>
            </w:r>
            <w:r>
              <w:t>граммы среднего профессионального образования - программы подготовки специалистов среднего звена:</w:t>
            </w:r>
            <w:bookmarkEnd w:id="9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преподаватели.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99" w:name="sub_333"/>
            <w:r>
              <w:t>3.3.3.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</w:t>
            </w:r>
            <w:r>
              <w:t>ьные программы среднего профессионального образования - исключительно программы подготовки квалифицированных рабочих, служащих:</w:t>
            </w:r>
            <w:bookmarkEnd w:id="9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высшую квалификационную категорию;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первую квалификационную категорию.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0" w:name="sub_334"/>
            <w:r>
              <w:t>3.3.4. Удельный вес числ</w:t>
            </w:r>
            <w:r>
              <w:t xml:space="preserve">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</w:t>
            </w:r>
            <w:r>
              <w:t>профессионального образования - программы подготовки специалистов среднего звена:</w:t>
            </w:r>
            <w:bookmarkEnd w:id="10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высшую квалификационную категорию;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первую квалификационную категорию.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1" w:name="sub_335"/>
            <w:r>
              <w:t>3.3.5. Численность студентов, обучающихся по образователь</w:t>
            </w:r>
            <w:r>
              <w:t>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</w:t>
            </w:r>
            <w:bookmarkEnd w:id="10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2" w:name="sub_336"/>
            <w:r>
              <w:lastRenderedPageBreak/>
              <w:t>3.3.6.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</w:t>
            </w:r>
            <w:r>
              <w:t xml:space="preserve"> программы среднего профессионального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</w:t>
            </w:r>
            <w:r>
              <w:t>дерации.</w:t>
            </w:r>
            <w:bookmarkEnd w:id="10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3" w:name="sub_337"/>
            <w:r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0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4" w:name="sub_338"/>
            <w:r>
              <w:t>3.3.8. Распространенность дополнительной занятости штатных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</w:t>
            </w:r>
            <w:r>
              <w:t>тных преподавателей профессиональных образовательных организаций).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0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05" w:name="sub_339"/>
            <w:r>
              <w:t>3.3.9. Удельный вес численности педагогических работников, освоивших дополнительные профессиональные программы в форме стажировки на пр</w:t>
            </w:r>
            <w:r>
              <w:t>едприятиях и (или) в организациях реального сектора экономики в течение последних 3-х лет, в общей численности педагогических работников образовательных организаций, реализующих образовательные программы среднего профессионального образования.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10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06" w:name="sub_3310"/>
            <w:r>
              <w:t>3.3.10.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</w:t>
            </w:r>
            <w:r>
              <w:t>ателей и мастеров производственного обучения образовательных организаций, реализующих образовательные программы среднего профессионального образования.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10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7" w:name="sub_34"/>
            <w:r>
              <w:t>3.4. Материально-т</w:t>
            </w:r>
            <w:r>
              <w:t>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  <w:bookmarkEnd w:id="10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8" w:name="sub_341"/>
            <w:r>
              <w:t>3.4.1. Обеспеченность студен</w:t>
            </w:r>
            <w:r>
              <w:t xml:space="preserve">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</w:t>
            </w:r>
            <w:r>
              <w:lastRenderedPageBreak/>
              <w:t>общежитиях, в общей численн</w:t>
            </w:r>
            <w:r>
              <w:t>ости студентов, нуждающихся в общежитиях).</w:t>
            </w:r>
            <w:bookmarkEnd w:id="10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09" w:name="sub_342"/>
            <w:r>
              <w:t>3.4.2.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сетью общественного питания.</w:t>
            </w:r>
            <w:bookmarkEnd w:id="10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10" w:name="sub_343"/>
            <w:r>
              <w:t>3.4.3.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</w:t>
            </w:r>
            <w:r>
              <w:t>и квалифицированных рабочих, служащих:</w:t>
            </w:r>
            <w:bookmarkEnd w:id="11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имеющих доступ к Интернету.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1" w:name="sub_344"/>
            <w:r>
              <w:t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</w:t>
            </w:r>
            <w:r>
              <w:t>реднего звена:</w:t>
            </w:r>
            <w:bookmarkEnd w:id="11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имеющих доступ к Интернету.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2" w:name="sub_345"/>
            <w:r>
              <w:t xml:space="preserve">3.4.5. Удельный вес числа организаций, подключенных к Интернету со скоростью передачи данных 2 Мбит/сек и выше, в общем числе профессиональных образовательных организаций, </w:t>
            </w:r>
            <w:r>
              <w:t>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Интернету.</w:t>
            </w:r>
            <w:bookmarkEnd w:id="11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3" w:name="sub_346"/>
            <w:r>
              <w:t>3.4.6. Площадь учебно-лабораторных зданий профессиональных образовательных орг</w:t>
            </w:r>
            <w:r>
              <w:t>анизаций в расчете на одного студента:</w:t>
            </w:r>
            <w:bookmarkEnd w:id="11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организации, реализующие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квадратный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организации, реализующие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квадратный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4" w:name="sub_35"/>
            <w:r>
              <w:t>3.5. Условия получения среднего профессионального образования лицами с огр</w:t>
            </w:r>
            <w:r>
              <w:t>аниченными возможностями здоровья и инвалидами</w:t>
            </w:r>
            <w:bookmarkEnd w:id="11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5" w:name="sub_351"/>
            <w:r>
              <w:t xml:space="preserve">3.5.1. Удельный вес числа организаций, обеспечивающих доступность обучения и проживания лиц с ограниченными </w:t>
            </w:r>
            <w:r>
              <w:lastRenderedPageBreak/>
              <w:t>возможностями здоровья и инвалидов, в общем числе профессиональных образовательных орг</w:t>
            </w:r>
            <w:r>
              <w:t>анизаций, реализующих образовательные программы среднего профессионального образования программы подготовки специалистов среднего звена.</w:t>
            </w:r>
            <w:bookmarkEnd w:id="11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6" w:name="sub_352"/>
            <w:r>
              <w:t>3.5.2. Удельный вес численности студентов с ограниченными возможностями здоровья в общей численн</w:t>
            </w:r>
            <w:r>
              <w:t>ости студентов, обучающихся по образовательным программам среднего профессионального образования:</w:t>
            </w:r>
            <w:bookmarkEnd w:id="11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17" w:name="sub_353"/>
            <w:r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  <w:bookmarkEnd w:id="11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18" w:name="sub_354"/>
            <w:r>
              <w:t>3.5.4. Численность студентов-инвалидов и студентов с ограниченными возможностями здоровья, обучающихся по образовательным программам среднего профессионального образования по формам обучени</w:t>
            </w:r>
            <w:r>
              <w:t>я:</w:t>
            </w:r>
            <w:bookmarkEnd w:id="11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очная форма обучения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очно-заочная форма обучения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заочная форма обучения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19" w:name="sub_355"/>
            <w:r>
              <w:t>3.5.5. Удельный вес численности студентов-инвалидов и студентов с ограниченными возможностями здоровья, обучающихся по адаптированным образовательным программам, в общей численности студентов-инвалидов и студентов с ограниченными возможностями здоровья, об</w:t>
            </w:r>
            <w:r>
              <w:t>учающихся по образовательным программам среднего профессионального образования: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11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0" w:name="sub_36"/>
            <w: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  <w:bookmarkEnd w:id="12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1" w:name="sub_361"/>
            <w:r>
              <w:t>3.6.1. Удельный вес численности студентов очной формы обучения, получающ</w:t>
            </w:r>
            <w:r>
              <w:t>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  <w:bookmarkEnd w:id="12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2" w:name="sub_362"/>
            <w:r>
              <w:lastRenderedPageBreak/>
              <w:t>3.6.2. Уровень безработицы выпуск</w:t>
            </w:r>
            <w:r>
              <w:t>ников, завершивших обучение по образовательным программам среднего профессионального образования в течение трех лет, предшествовавших отчетному периоду:</w:t>
            </w:r>
            <w:bookmarkEnd w:id="12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звена".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23" w:name="sub_363"/>
            <w:r>
              <w:t>3.6.3. Удельный вес численности выпускников, завершивших обучение по образовательным программам среднего профессионального образования, трудоустроивш</w:t>
            </w:r>
            <w:r>
              <w:t>ихся в течение одного года после завершения обучения, в общей численности выпускников, завершивших обучение по образовательным программам среднего профессионального образования:</w:t>
            </w:r>
            <w:bookmarkEnd w:id="12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4" w:name="sub_37"/>
            <w:r>
              <w:t>3.7. Изменение сети организаций, осуществляющих образовательную деятельность по образовательным программам среднего профессиональн</w:t>
            </w:r>
            <w:r>
              <w:t>ого образования (в том числе ликвидация и реорганизация организаций, осуществляющих образовательную деятельность)</w:t>
            </w:r>
            <w:bookmarkEnd w:id="12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5" w:name="sub_371"/>
            <w:r>
              <w:t>3.7.1. Темп роста числа образовательных организаций, реализующих:</w:t>
            </w:r>
            <w:bookmarkEnd w:id="12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высшего образования, имеющие в своем составе структурные подразделения, реализующие программы подг</w:t>
            </w:r>
            <w:r>
              <w:t>отовки квалифицированных рабочих, служащих.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подготовки специалистов среднего звена: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профессиональные образовательные организации; 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высшего образования, имеющие в своем составе структурные подразделения, реализующие программы подготовки специалистов среднего звена.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6" w:name="sub_38"/>
            <w:r>
              <w:t>3.8. Финансово-экономическая деятельность профессиональных образ</w:t>
            </w:r>
            <w:r>
              <w:t>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  <w:bookmarkEnd w:id="12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7" w:name="sub_381"/>
            <w:r>
              <w:t>3.8.1. Удельный вес финансовых средств от приносящей доход деятельности в</w:t>
            </w:r>
            <w:r>
              <w:t xml:space="preserve">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рабочих, служащих:</w:t>
            </w:r>
            <w:bookmarkEnd w:id="12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профессиональные</w:t>
            </w:r>
            <w:r>
              <w:t xml:space="preserve"> образовательные организации;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высшего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8" w:name="sub_382"/>
            <w:r>
              <w:t>3.8.2.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</w:t>
            </w:r>
            <w:r>
              <w:t>овательных программ среднего профессионального образования - программ подготовки специалистов среднего звена:</w:t>
            </w:r>
            <w:bookmarkEnd w:id="12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высшего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29" w:name="sub_383"/>
            <w:r>
              <w:t xml:space="preserve">3.8.3. Объем финансовых средств, </w:t>
            </w:r>
            <w:r>
              <w:t>поступивших в профессиональные образовательные организации, в расчете на 1 студента:</w:t>
            </w:r>
            <w:bookmarkEnd w:id="12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организации, реализующие образовательные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</w:t>
            </w:r>
            <w:r>
              <w:t>, реализующие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0" w:name="sub_39"/>
            <w:r>
              <w:t>3.9. Структура профессиональных образовательных организаций и образовательных организаций высшего образо</w:t>
            </w:r>
            <w:r>
              <w:t>вания, реализующих образовательные программы среднего профессионального образования (в том числе характеристика филиалов)</w:t>
            </w:r>
            <w:bookmarkEnd w:id="13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31" w:name="sub_391"/>
            <w:r>
              <w:t>3.9.1. Удельный вес числа организаций, имеющих филиалы, реализующе образовательные программы среднего профессионального</w:t>
            </w:r>
            <w:r>
              <w:t xml:space="preserve">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  <w:bookmarkEnd w:id="13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32" w:name="sub_392"/>
            <w:r>
              <w:t>3.9.2. Удельный вес профессиональных образовательных организаций, создавших кафедры и иные структурные подразделения, обеспечивающие практическую подготов</w:t>
            </w:r>
            <w:r>
              <w:t>ку студентов, обучающихся по образовательным программам среднего профессионального образования, на базе организаций реального сектора экономики, осуществляющих деятельность по профилю соответствующей образовательной программы, в общем количестве профессион</w:t>
            </w:r>
            <w:r>
              <w:t>альных образовательных организаций.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13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3" w:name="sub_310"/>
            <w:r>
              <w:t xml:space="preserve"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>
              <w:lastRenderedPageBreak/>
              <w:t>образовател</w:t>
            </w:r>
            <w:r>
              <w:t>ьных программ среднего профессионального образования</w:t>
            </w:r>
            <w:bookmarkEnd w:id="13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4" w:name="sub_3101"/>
            <w:r>
              <w:t>3.10.1. 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</w:t>
            </w:r>
            <w:r>
              <w:t>иалистов среднего звена:</w:t>
            </w:r>
            <w:bookmarkEnd w:id="13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учебно-лабораторные здания;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общежития.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5" w:name="sub_3102"/>
            <w:r>
              <w:t>3.10.2. Удельный вес числа организаций, здания которых требуют капитального ремонта, в общем числе профессиональных образовательных организаций, реализующих</w:t>
            </w:r>
            <w:r>
              <w:t xml:space="preserve">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  <w:bookmarkEnd w:id="13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6" w:name="sub_3103"/>
            <w:r>
              <w:t>3.10.3. Удельный вес числа организаций, здания которых находятся в аварийном состоянии, в о</w:t>
            </w:r>
            <w:r>
              <w:t>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  <w:bookmarkEnd w:id="13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7" w:name="sub_3104"/>
            <w:r>
              <w:t>3.10.4. Удельный вес пл</w:t>
            </w:r>
            <w:r>
              <w:t>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</w:t>
            </w:r>
            <w:r>
              <w:t>и специалистов среднего звена.</w:t>
            </w:r>
            <w:bookmarkEnd w:id="13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8" w:name="sub_3105"/>
            <w:r>
              <w:t>3.10.5. 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</w:t>
            </w:r>
            <w:r>
              <w:t xml:space="preserve"> программы подготовки специалистов среднего звена.</w:t>
            </w:r>
            <w:bookmarkEnd w:id="13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39" w:name="sub_3106"/>
            <w:r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</w:t>
            </w:r>
            <w:r>
              <w:t>аммы среднего профессионального образования - программы подготовки специалистов среднего звена.</w:t>
            </w:r>
            <w:bookmarkEnd w:id="13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40" w:name="sub_3107"/>
            <w:r>
              <w:t>3.10.7. Удельный вес площади общежитий, требующей капитального ремонта, в общей площади общежитий профессиональных образовательных орга</w:t>
            </w:r>
            <w:r>
              <w:t xml:space="preserve">низаций, реализующих образовательные программы среднего </w:t>
            </w:r>
            <w:r>
              <w:lastRenderedPageBreak/>
              <w:t>профессионального образования - программы подготовки специалистов среднего звена.</w:t>
            </w:r>
            <w:bookmarkEnd w:id="14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141" w:name="sub_204"/>
            <w:r>
              <w:t>4. Сведения о развитии высшего образования</w:t>
            </w:r>
            <w:hyperlink w:anchor="sub_10003" w:history="1">
              <w:r>
                <w:rPr>
                  <w:rStyle w:val="a4"/>
                  <w:b w:val="0"/>
                  <w:bCs w:val="0"/>
                </w:rPr>
                <w:t>*(3)</w:t>
              </w:r>
            </w:hyperlink>
            <w:bookmarkEnd w:id="14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2" w:name="sub_41"/>
            <w:r>
              <w:t>4.1. Уровень доступности высшего образования и численность населения, получающего высшее образование:</w:t>
            </w:r>
            <w:bookmarkEnd w:id="14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3" w:name="sub_411"/>
            <w:r>
              <w:t>4.1.1. Охват молодежи образовательными программами высшего образования (отношение численности студентов, обучающихся по образовательным про</w:t>
            </w:r>
            <w:r>
              <w:t>граммам высшего образования - программам бакалавриата, программам специалитета, программам магистратуры, к численности населения в возрасте 17-25 лет).</w:t>
            </w:r>
            <w:bookmarkEnd w:id="14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4" w:name="sub_412"/>
            <w:r>
              <w:t>4.1.2. 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образовательным програ</w:t>
            </w:r>
            <w:r>
              <w:t>ммам высшего образования - программам бакалавриата, программам специалитета, программам магистратуры.</w:t>
            </w:r>
            <w:bookmarkEnd w:id="14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5" w:name="sub_42"/>
            <w:r>
              <w:t>4.2. Содержание образовательной деятельности и организация образовательного процесса по образовательным программам высшего образован</w:t>
            </w:r>
            <w:r>
              <w:t>ия</w:t>
            </w:r>
            <w:bookmarkEnd w:id="14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6" w:name="sub_421"/>
            <w:r>
              <w:t>4.2.1. Структура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по формам обучения (удельный вес численности студентов соотв</w:t>
            </w:r>
            <w:r>
              <w:t>етствующей формы обучения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магистратуры):</w:t>
            </w:r>
            <w:bookmarkEnd w:id="14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очная форма обучения;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очно-заочная форма </w:t>
            </w:r>
            <w:r>
              <w:t>обучения;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заочная форма обучения.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7" w:name="sub_422"/>
            <w:r>
              <w:t>4.2.2. Удельный вес численности лиц, обучающихся на платной осно</w:t>
            </w:r>
            <w:r>
              <w:t>ве,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  <w:bookmarkEnd w:id="14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8" w:name="sub_423"/>
            <w:r>
              <w:t>4.2.3. Удельный вес численности лиц, обучающихся с применен</w:t>
            </w:r>
            <w:r>
              <w:t>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</w:t>
            </w:r>
            <w:bookmarkEnd w:id="14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бакалавриата;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специалитета;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программы магистра</w:t>
            </w:r>
            <w:r>
              <w:t>туры.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49" w:name="sub_43"/>
            <w:r>
              <w:t>4.3.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</w:t>
            </w:r>
            <w:r>
              <w:t xml:space="preserve"> работников</w:t>
            </w:r>
            <w:bookmarkEnd w:id="14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0" w:name="sub_431"/>
            <w:r>
              <w:t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</w:t>
            </w:r>
            <w:r>
              <w:t>ющих образовательную деятельность по реализации образовательных программ высшего образования:</w:t>
            </w:r>
            <w:bookmarkEnd w:id="15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доктора наук;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кандидата наук.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1" w:name="sub_432"/>
            <w:r>
              <w:t>4.3.2. 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</w:t>
            </w:r>
            <w:r>
              <w:t>сть по реализации образовательных программ высшего образования.</w:t>
            </w:r>
            <w:bookmarkEnd w:id="15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2" w:name="sub_433"/>
            <w:r>
              <w:t>4.3.3. Соотношение численности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</w:t>
            </w:r>
            <w:r>
              <w:t>тва, организаций, осуществляющих образовательную деятельность по реализации образовательных программ высшего образования (на 100 работников штатного состава приходится внешних совместителей).</w:t>
            </w:r>
            <w:bookmarkEnd w:id="15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3" w:name="sub_434"/>
            <w:r>
              <w:t>4.3.4. Численность студентов, обучающихся</w:t>
            </w:r>
            <w:r>
              <w:t xml:space="preserve">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состава.</w:t>
            </w:r>
            <w:bookmarkEnd w:id="15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4" w:name="sub_435"/>
            <w:r>
              <w:t>4.3.5. Отношение среднемесячной за</w:t>
            </w:r>
            <w:r>
              <w:t>работной платы профессорско- 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организациях, у индивидуальных предпринимателей и физ</w:t>
            </w:r>
            <w:r>
              <w:t>ических лиц (среднемесячному доходу от трудовой деятельности) в субъекте Российской Федерации.</w:t>
            </w:r>
            <w:bookmarkEnd w:id="15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5" w:name="sub_436"/>
            <w:r>
              <w:t>4.3.6. Удельный вес штатных преподавателей образовательных организаций высшего образования, желающих сменить работу, в общей численности ш</w:t>
            </w:r>
            <w:r>
              <w:t xml:space="preserve">татных преподавателей образовательных организаций высшего </w:t>
            </w:r>
            <w:r>
              <w:lastRenderedPageBreak/>
              <w:t>образования.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5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6" w:name="sub_437"/>
            <w:r>
              <w:t>4.3.7. Распространенность дополнительной занятости преподавателей образователь</w:t>
            </w:r>
            <w:r>
              <w:t>ных организаций высшего образования (удельный вес штатных 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5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57" w:name="sub_44"/>
            <w:r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</w:t>
            </w:r>
            <w:r>
              <w:t xml:space="preserve"> высшего образования</w:t>
            </w:r>
            <w:bookmarkEnd w:id="15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8" w:name="sub_441"/>
            <w:r>
              <w:t>4.4.1. 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общежитиях).</w:t>
            </w:r>
            <w:bookmarkEnd w:id="15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59" w:name="sub_442"/>
            <w:r>
              <w:t>4.4.2. Обеспеченность студентов образовательных организаций высшего образования сетью общественного питания.</w:t>
            </w:r>
            <w:bookmarkEnd w:id="15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0" w:name="sub_443"/>
            <w:r>
              <w:t>4.4.3. Число персональных компьютеров, используемых в учебных целях, в расчете на 100 студентов образовательных орган</w:t>
            </w:r>
            <w:r>
              <w:t>изаций высшего образования:</w:t>
            </w:r>
            <w:bookmarkEnd w:id="16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имеющих доступ к Интернету.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1" w:name="sub_444"/>
            <w:r>
              <w:t>4.4.4. Удельный вес числа организаций, подключенных к Интернету со скоростью передачи данных 2 Мбит/сек и выше, в общем числе образовательных организаций высше</w:t>
            </w:r>
            <w:r>
              <w:t>го образования, подключенных к Интернету.</w:t>
            </w:r>
            <w:bookmarkEnd w:id="16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2" w:name="sub_445"/>
            <w:r>
              <w:t>4.4.5. Площадь учебно-лабораторных зданий образовательных организаций высшего образования в расчете на одного студента.</w:t>
            </w:r>
            <w:bookmarkEnd w:id="16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квадратный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3" w:name="sub_45"/>
            <w:r>
              <w:t>4.5. Условия получения высшего профессионального образования лицами с ограниченными возможностями здоровья и инвалидами</w:t>
            </w:r>
            <w:bookmarkEnd w:id="16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4" w:name="sub_451"/>
            <w:r>
              <w:t>4.5.1. Удельный вес числа организаций, обеспечивающих доступность обучения и проживания лиц с ограниченными возможностями</w:t>
            </w:r>
            <w:r>
              <w:t xml:space="preserve"> здоровья и инвалидов, в общем числе образовательных организаций высшего образования.</w:t>
            </w:r>
            <w:bookmarkEnd w:id="16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5" w:name="sub_452"/>
            <w:r>
              <w:t xml:space="preserve">4.5.2. Удельный вес численности студентов-инвалидов в общей численности студентов, обучающихся по образовательным программам высшего образования - </w:t>
            </w:r>
            <w:r>
              <w:t>программам бакалавриата, программам специалитета, программам магистратуры.</w:t>
            </w:r>
            <w:bookmarkEnd w:id="16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6" w:name="sub_46"/>
            <w:r>
              <w:t xml:space="preserve">4.6. Учебные и внеучебные достижения обучающихся лиц и профессиональные достижения выпускников организаций, </w:t>
            </w:r>
            <w:r>
              <w:lastRenderedPageBreak/>
              <w:t>реализующих программы высшего образования</w:t>
            </w:r>
            <w:bookmarkEnd w:id="16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7" w:name="sub_461"/>
            <w:r>
              <w:t>4.6.1.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бакалавриата, программам специалитета</w:t>
            </w:r>
            <w:r>
              <w:t>, программам магистратуры.</w:t>
            </w:r>
            <w:bookmarkEnd w:id="16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68" w:name="sub_462"/>
            <w:r>
              <w:t>4.6.2. Уровень безработицы выпускников, завершивших обучение по образовательным программам высшего образования - программам бакалавриата, программам специалитета, программам магистратуры в течение трех лет,</w:t>
            </w:r>
            <w:r>
              <w:t xml:space="preserve"> предшествовавших отчетному периоду.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6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69" w:name="sub_47"/>
            <w:r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  <w:bookmarkEnd w:id="16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0" w:name="sub_471"/>
            <w:r>
              <w:t>4.7.1. 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б</w:t>
            </w:r>
            <w:r>
              <w:t>акалавриата, программ специалитета, программ магистратуры.</w:t>
            </w:r>
            <w:bookmarkEnd w:id="17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1" w:name="sub_472"/>
            <w:r>
              <w:t>4.7.2. Объем финансовых средств, поступивших в образовательные организации высшего образования, в расчете на одного студента.</w:t>
            </w:r>
            <w:bookmarkEnd w:id="17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2" w:name="sub_48"/>
            <w:r>
              <w:t>4.8.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  <w:bookmarkEnd w:id="17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3" w:name="sub_481"/>
            <w:r>
              <w:t>4.8.1. Удельный вес числа организаций, имеющих филиалы, реализующие образовательн</w:t>
            </w:r>
            <w:r>
              <w:t>ые программы высшего образования - программы бакалавриата, программы специалитета, программы магистратуры, в общем числе образовательных организаций высшего образования.</w:t>
            </w:r>
            <w:bookmarkEnd w:id="17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4" w:name="sub_49"/>
            <w:r>
              <w:t>4.9. Научная и творческая деятельность образовательных организац</w:t>
            </w:r>
            <w:r>
              <w:t>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  <w:bookmarkEnd w:id="17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5" w:name="sub_491"/>
            <w:r>
              <w:t>4.9.1. Удельный вес финансовых средств, полученных от научной деятельности, в</w:t>
            </w:r>
            <w:r>
              <w:t xml:space="preserve"> общем объеме финансовых средств образовательных организаций высшего образования.</w:t>
            </w:r>
            <w:bookmarkEnd w:id="17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6" w:name="sub_492"/>
            <w:r>
              <w:t>4.9.2. Объем финансовых средств, полученных от научной деятельности, в расчете на 1 научно-педагогического работника.</w:t>
            </w:r>
            <w:bookmarkEnd w:id="17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7" w:name="sub_493"/>
            <w:r>
              <w:t xml:space="preserve">4.9.3. Распространенность участия в исследованиях и разработках преподавателей организаций высшего образования (оценка удельного веса штатных </w:t>
            </w:r>
            <w:r>
              <w:lastRenderedPageBreak/>
              <w:t>преподавателей, занимающихся научной работой, в общей численности штатных преподавателей образовательных организац</w:t>
            </w:r>
            <w:r>
              <w:t>ий высшего образования).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7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78" w:name="sub_494"/>
            <w:r>
              <w:t>4.9.4. Распространенность участия в научной работе студентов, обучающихся по образовательным программам высшего образования - программам бакалавриата и программам специалитета н</w:t>
            </w:r>
            <w:r>
              <w:t>а 4 курсе и старше, по программам магистратуры (оценка удельного веса лиц, занимающихся научной работой в общей численности студентов, обучающихся по образовательным программам высшего образования - программам бакалавриата и программам специалитета на 4 ку</w:t>
            </w:r>
            <w:r>
              <w:t>рсе и старше, по программам магистратуры).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17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79" w:name="sub_410"/>
            <w:r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</w:t>
            </w:r>
            <w:r>
              <w:t>зовательных программ высшего образования</w:t>
            </w:r>
            <w:bookmarkEnd w:id="17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0" w:name="sub_4101"/>
            <w:r>
              <w:t>4.10.1. 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  <w:bookmarkEnd w:id="18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учебно-лабораторные здания;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общежития.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1" w:name="sub_4102"/>
            <w:r>
              <w:t>4.10.2. 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  <w:bookmarkEnd w:id="18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учебно-лабораторные здания;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общежития.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2" w:name="sub_4103"/>
            <w:r>
              <w:t>4.10.3. 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  <w:bookmarkEnd w:id="18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учебно-лабораторные здания;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общежития.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183" w:name="sub_300"/>
            <w:r>
              <w:t>III. Дополнительное образование</w:t>
            </w:r>
            <w:bookmarkEnd w:id="18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184" w:name="sub_305"/>
            <w:r>
              <w:t>5. Сведения о развитии дополнительного образования детей и взрослых</w:t>
            </w:r>
            <w:bookmarkEnd w:id="18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5" w:name="sub_51"/>
            <w:r>
              <w:t>5.1. Численность населения, обучающегося по дополнительным общеобразовательным программам</w:t>
            </w:r>
            <w:bookmarkEnd w:id="18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6" w:name="sub_5011"/>
            <w:r>
              <w:t>5.1.1. Охват детей в возрасте 5-18 лет дополнительными общео</w:t>
            </w:r>
            <w:r>
              <w:t>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лет).</w:t>
            </w:r>
            <w:bookmarkEnd w:id="18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7" w:name="sub_52"/>
            <w:r>
              <w:t>5.2. Содержание образовательной деятельности и организация образовательного п</w:t>
            </w:r>
            <w:r>
              <w:t>роцесса по дополнительным общеобразовательным программам</w:t>
            </w:r>
            <w:bookmarkEnd w:id="18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88" w:name="sub_521"/>
            <w:r>
              <w:lastRenderedPageBreak/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</w:t>
            </w:r>
            <w:r>
              <w:t>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  <w:bookmarkEnd w:id="18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89" w:name="sub_522"/>
            <w:r>
              <w:t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18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190" w:name="sub_523"/>
            <w:r>
              <w:t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19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191" w:name="sub_53"/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9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2" w:name="sub_531"/>
            <w: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19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3" w:name="sub_54"/>
            <w: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9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4" w:name="sub_541"/>
            <w:r>
              <w:t>5.4.1. Общая площадь всех помещений организаций дополните</w:t>
            </w:r>
            <w:r>
              <w:t>льного образования в расчете на одного обучающегося.</w:t>
            </w:r>
            <w:bookmarkEnd w:id="19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квадратный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5" w:name="sub_542"/>
            <w: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  <w:bookmarkEnd w:id="19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водопровод: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центральное отопление;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канализацию.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6" w:name="sub_543"/>
            <w: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9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имеющих доступ к Интернету.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7" w:name="sub_55"/>
            <w:r>
              <w:t xml:space="preserve"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</w:t>
            </w:r>
            <w:r>
              <w:lastRenderedPageBreak/>
              <w:t>реорганизация организаций, осуществляющих образовательную дея</w:t>
            </w:r>
            <w:r>
              <w:t>тельность)</w:t>
            </w:r>
            <w:bookmarkEnd w:id="19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8" w:name="sub_551"/>
            <w:r>
              <w:t>5.5.1. Темп роста числа образовательных организаций дополнительного образования.</w:t>
            </w:r>
            <w:bookmarkEnd w:id="19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199" w:name="sub_56"/>
            <w:r>
              <w:t>5.6. Финансово-экономическая деятельность организаций, осуществляющих образовательную деятельность в части обеспечения реализац</w:t>
            </w:r>
            <w:r>
              <w:t>ии дополнительных общеобразовательных программ</w:t>
            </w:r>
            <w:bookmarkEnd w:id="19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0" w:name="sub_561"/>
            <w: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  <w:bookmarkEnd w:id="20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1" w:name="sub_562"/>
            <w: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  <w:bookmarkEnd w:id="20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02" w:name="sub_57"/>
            <w:r>
              <w:t>5.7. Структура организаций, осуществляющих образовательную деятельность</w:t>
            </w:r>
            <w:r>
              <w:t>, реализующих дополнительные общеобразовательные программы (в том числе характеристика их филиалов)</w:t>
            </w:r>
            <w:bookmarkEnd w:id="20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3" w:name="sub_571"/>
            <w: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  <w:bookmarkEnd w:id="20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4" w:name="sub_58"/>
            <w: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20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5" w:name="sub_581"/>
            <w:r>
              <w:t>5.8.1. Удельный вес числа организац</w:t>
            </w:r>
            <w:r>
              <w:t>ий, имеющих пожарные краны и рукава, в общем числе образовательных организаций дополнительного образования.</w:t>
            </w:r>
            <w:bookmarkEnd w:id="20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6" w:name="sub_582"/>
            <w: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  <w:bookmarkEnd w:id="20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7" w:name="sub_583"/>
            <w:r>
              <w:t xml:space="preserve">5.8.3. Удельный вес числа организаций, здания которых находятся в аварийном состоянии, в общем </w:t>
            </w:r>
            <w:r>
              <w:t>числе образовательных организаций дополнительного образования.</w:t>
            </w:r>
            <w:bookmarkEnd w:id="20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8" w:name="sub_584"/>
            <w: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  <w:bookmarkEnd w:id="20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09" w:name="sub_59"/>
            <w:r>
              <w:t>5.9. Учебные и внеучебные достижения лиц, обучающихся по программам дополнительного образования детей</w:t>
            </w:r>
            <w:bookmarkEnd w:id="20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0" w:name="sub_591"/>
            <w:r>
              <w:t>5.9.1. Результаты занятий детей в организациях дополнительного образования (оценка удельного веса родителей детей, обучающихся в обр</w:t>
            </w:r>
            <w:r>
              <w:t xml:space="preserve">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</w:t>
            </w:r>
            <w:r>
              <w:lastRenderedPageBreak/>
              <w:t>образования):</w:t>
            </w:r>
            <w:bookmarkEnd w:id="21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приобретение актуальных знаний,</w:t>
            </w:r>
            <w:r>
              <w:t xml:space="preserve"> умений, практических навыков обучающимися;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выявление и развитие таланта и способностей обучающихся;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профессиональная ориентация, освоение значимых для профессиональной деятельности навыков обучающимися;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улучшение знаний в рамках школьной программы обучающимися.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11" w:name="sub_306"/>
            <w:r>
              <w:t>6. Свед</w:t>
            </w:r>
            <w:r>
              <w:t>ения о развитии дополнительного профессионального образования</w:t>
            </w:r>
            <w:bookmarkEnd w:id="21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2" w:name="sub_61"/>
            <w:r>
              <w:t>6.1. Численность населения, обучающегося по дополнительным профессиональным программам</w:t>
            </w:r>
            <w:bookmarkEnd w:id="21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13" w:name="sub_611"/>
            <w:r>
              <w:t>6.1.1. Охват населения программами дополнительного профессионального образова</w:t>
            </w:r>
            <w:r>
              <w:t>ния (удельный вес численности занятого населения в возрасте 25-64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bookmarkEnd w:id="21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4" w:name="sub_612"/>
            <w:r>
              <w:t xml:space="preserve">6.1.2. Удельный вес численности лиц, прошедших обучение по программам повышения квалификации, профессиональной переподготовки в образовательных организациях, реализующих дополнительные профессиональные программы, в общей численности занятых в организациях </w:t>
            </w:r>
            <w:r>
              <w:t>реального сектора экономики.</w:t>
            </w:r>
            <w:bookmarkEnd w:id="21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5" w:name="sub_613"/>
            <w: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  <w:bookmarkEnd w:id="21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6" w:name="sub_62"/>
            <w: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  <w:bookmarkEnd w:id="21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7" w:name="sub_621"/>
            <w:r>
              <w:t>6.2.1. Удельный вес численности лиц, получивших дополнительное профессиональное образование с использованием д</w:t>
            </w:r>
            <w:r>
              <w:t>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  <w:bookmarkEnd w:id="21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8" w:name="sub_63"/>
            <w:r>
              <w:t>6.3. Кадровое обеспечение организаций, осуществляющих образовательную деятельность в части ре</w:t>
            </w:r>
            <w:r>
              <w:t>ализации дополнительных профессиональных программ</w:t>
            </w:r>
            <w:bookmarkEnd w:id="21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19" w:name="sub_631"/>
            <w:r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</w:t>
            </w:r>
            <w:r>
              <w:t xml:space="preserve">ого характера) организаций, осуществляющих образовательную деятельность по </w:t>
            </w:r>
            <w:r>
              <w:lastRenderedPageBreak/>
              <w:t>реализации дополнительных профессиональных программ:</w:t>
            </w:r>
            <w:bookmarkEnd w:id="21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доктора наук;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кандидата наук.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0" w:name="sub_64"/>
            <w:r>
              <w:t>6.4. 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  <w:bookmarkEnd w:id="22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1" w:name="sub_641"/>
            <w:r>
              <w:t>6.4.1. Удельный вес стоимости дорогостоящих машин</w:t>
            </w:r>
            <w:r>
              <w:t xml:space="preserve"> и оборудования (стоимостью свыше 1 млн. рублей за единицу) в общей стоимости машин и оборудования организаций дополнительного профессионального образования.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bookmarkEnd w:id="22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2" w:name="sub_642"/>
            <w:r>
              <w:t>6.4.2. Число персональных компьютеров, испол</w:t>
            </w:r>
            <w:r>
              <w:t>ьзуемых в учебных целях, в расчете на 100 слушателей организаций дополнительного профессионального образования:</w:t>
            </w:r>
            <w:bookmarkEnd w:id="22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имеющих доступ к Интернету.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3" w:name="sub_65"/>
            <w: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  <w:bookmarkEnd w:id="22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4" w:name="sub_651"/>
            <w:r>
              <w:t>6.5.1. Темп роста чи</w:t>
            </w:r>
            <w:r>
              <w:t>сла организаций, осуществляющих образовательную деятельность по реализации дополнительных профессиональных программ:</w:t>
            </w:r>
            <w:bookmarkEnd w:id="22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дополнительного профессионального образования;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</w:t>
            </w:r>
            <w:r>
              <w:t>бразовательные организации;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высшего образования.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5" w:name="sub_66"/>
            <w:r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  <w:bookmarkEnd w:id="22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6" w:name="sub_661"/>
            <w:r>
              <w:t>6.6.1. Удельный вес численности лиц с ограниченными возможностями здоровья и инвалидов в общей численности работников о</w:t>
            </w:r>
            <w:r>
              <w:t xml:space="preserve">рганизаций, прошедших обучение по дополнительным профессиональным программам. 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bookmarkEnd w:id="22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7" w:name="sub_67"/>
            <w:r>
              <w:t>6.7. Научная деятельность организаций, осуществляющих образовательную деятельность, связанная с реализацией дополнительных п</w:t>
            </w:r>
            <w:r>
              <w:t>рофессиональных программ</w:t>
            </w:r>
            <w:bookmarkEnd w:id="22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8" w:name="sub_671"/>
            <w:r>
              <w:t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bookmarkEnd w:id="22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29" w:name="sub_68"/>
            <w:r>
              <w:t xml:space="preserve">6.8.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>
              <w:lastRenderedPageBreak/>
              <w:t>дополнительных профессиональных программ</w:t>
            </w:r>
            <w:bookmarkEnd w:id="22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0" w:name="sub_681"/>
            <w:r>
              <w:t>6.8.1. Удельный вес площади зданий, треб</w:t>
            </w:r>
            <w:r>
              <w:t>ующей капитального ремонта, в общей площади зданий организаций дополнительного профессионального образования:</w:t>
            </w:r>
            <w:bookmarkEnd w:id="23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учебно-лабораторные здания;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общежития.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1" w:name="sub_69"/>
            <w:r>
              <w:t>6.9. Професс</w:t>
            </w:r>
            <w:r>
              <w:t>иональные достижения выпускников организаций, реализующих программы дополнительного профессионального образования</w:t>
            </w:r>
            <w:bookmarkEnd w:id="23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32" w:name="sub_691"/>
            <w:r>
              <w:t xml:space="preserve">6.9.1. 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лет. 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 xml:space="preserve"> (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  <w:bookmarkEnd w:id="23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33" w:name="sub_400"/>
            <w:r>
              <w:t>IV. Профессиональное обучение</w:t>
            </w:r>
            <w:bookmarkEnd w:id="23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34" w:name="sub_407"/>
            <w:r>
              <w:t>7. Сведения о развитии профессионального обучения</w:t>
            </w:r>
            <w:bookmarkEnd w:id="23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5" w:name="sub_71"/>
            <w:r>
              <w:t>7.1. Численность населения</w:t>
            </w:r>
            <w:r>
              <w:t>, обучающегося по программам профессионального обучения</w:t>
            </w:r>
            <w:bookmarkEnd w:id="23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6" w:name="sub_711"/>
            <w:r>
              <w:t>7.1.1. Численность лиц, прошедших обучение по образовательным программам профессионального обучения (в профессиональных образовательных организациях, реализующих образовательные програм</w:t>
            </w:r>
            <w:r>
              <w:t>мы среднего профессионального образования - программы подготовки квалифицированных рабочих, служащих).</w:t>
            </w:r>
            <w:bookmarkEnd w:id="23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7" w:name="sub_712"/>
            <w:r>
              <w:t>7.1.2. Численность работников организаций, прошедших профессиональное обучение:</w:t>
            </w:r>
            <w:bookmarkEnd w:id="23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</w:t>
            </w:r>
            <w:r>
              <w:t>льная подготовка по профессиям рабочих, должностям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переподготовка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повышение квалификации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тысяча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8" w:name="sub_713"/>
            <w:r>
              <w:t>7.1.3. Удельный вес численности работников организаций, прошедших профессиональное обучение, в общей численности штатных работников организаций.</w:t>
            </w:r>
            <w:bookmarkEnd w:id="23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39" w:name="sub_72"/>
            <w:r>
              <w:t>7.2. Содержание образовательной деятельности и организация образовательного процесса по о</w:t>
            </w:r>
            <w:r>
              <w:t>сновным программам профессионального обучения</w:t>
            </w:r>
            <w:bookmarkEnd w:id="23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0" w:name="sub_721"/>
            <w:r>
              <w:t>7.2.1. Удельный вес численности лиц, прошедших обучение по образовательным программам профессионального обучения по месту своей работы, в общей численности работников организаций, прошедших обуче</w:t>
            </w:r>
            <w:r>
              <w:t>ние по образовательным программам профессионального обучения.</w:t>
            </w:r>
            <w:bookmarkEnd w:id="24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1" w:name="sub_73"/>
            <w:r>
              <w:t xml:space="preserve">7.3. Кадровое обеспечение организаций, осуществляющих образовательную деятельность в части реализации основных </w:t>
            </w:r>
            <w:r>
              <w:lastRenderedPageBreak/>
              <w:t>программ профессионального обучения</w:t>
            </w:r>
            <w:bookmarkEnd w:id="24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2" w:name="sub_731"/>
            <w:r>
              <w:t xml:space="preserve">7.3.1. 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</w:t>
            </w:r>
            <w:r>
              <w:t>образовательных программ профессионального обучения.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24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43" w:name="sub_74"/>
            <w:r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</w:t>
            </w:r>
            <w:r>
              <w:t>м профессионального обучения</w:t>
            </w:r>
            <w:bookmarkEnd w:id="24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4" w:name="sub_741"/>
            <w:r>
              <w:t>7.4.1.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организаций, осуществляющих образовательную деятельность по реал</w:t>
            </w:r>
            <w:r>
              <w:t>изации образовательных программ профессионального обучения.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bookmarkEnd w:id="24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5" w:name="sub_75"/>
            <w:r>
              <w:t>7.5. Условия профессионального обучения лиц с ограниченными возможностями здоровья и инвалидами</w:t>
            </w:r>
            <w:bookmarkEnd w:id="24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6" w:name="sub_751"/>
            <w:r>
              <w:t>7.5.1. 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 и образовательным программам профессионального обучения.</w:t>
            </w:r>
            <w:bookmarkEnd w:id="24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7" w:name="sub_76"/>
            <w:r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  <w:bookmarkEnd w:id="24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8" w:name="sub_761"/>
            <w:r>
              <w:t>7.6.1. Удельный вес лиц, трудоустроившихся в течение 1 года после окончания обучен</w:t>
            </w:r>
            <w:r>
              <w:t>ия по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обучения.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bookmarkEnd w:id="24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49" w:name="sub_77"/>
            <w:r>
              <w:t>7.7. Изменение сети орган</w:t>
            </w:r>
            <w:r>
              <w:t>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  <w:bookmarkEnd w:id="24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0" w:name="sub_771"/>
            <w:r>
              <w:t xml:space="preserve">7.7.1. Число организаций, осуществляющих </w:t>
            </w:r>
            <w:r>
              <w:t>образовательную деятельность по образовательным программам профессионального обучения, в том числе:</w:t>
            </w:r>
            <w:bookmarkEnd w:id="25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общеобразовательные организации;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профессиональные образовательные организации;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образовательные организации высшего образования;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организации дополнительного образования;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организации дополнительного профессионального </w:t>
            </w:r>
            <w:r>
              <w:lastRenderedPageBreak/>
              <w:t>образования;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учебные центры профессиональной квалификации.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единица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1" w:name="sub_78"/>
            <w:r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  <w:bookmarkEnd w:id="25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52" w:name="sub_781"/>
            <w:r>
              <w:t>7.8.1. Структура финансовых средств, поступивших в организации, ос</w:t>
            </w:r>
            <w:r>
              <w:t>уществляющих образовательную деятельность по реализации образовательных программ профессионального обучения:</w:t>
            </w:r>
            <w:bookmarkEnd w:id="25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бюджетные ассигнования; 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 xml:space="preserve"> (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финансовые средства от приносящей доход деятельности.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 xml:space="preserve"> (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3" w:name="sub_79"/>
            <w:r>
              <w:t>7.9. Сведения о представителях работодателей, участвующих в учебном процессе</w:t>
            </w:r>
            <w:bookmarkEnd w:id="25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4" w:name="sub_791"/>
            <w:r>
              <w:t>7.9.1. Удельный вес представителей работодателей, участвующих в учебном процессе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</w:t>
            </w:r>
            <w:r>
              <w:t>сионального обучения.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 xml:space="preserve"> (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  <w:bookmarkEnd w:id="25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55" w:name="sub_500"/>
            <w:r>
              <w:t>V. Дополнительная информация о системе образования</w:t>
            </w:r>
            <w:bookmarkEnd w:id="25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56" w:name="sub_508"/>
            <w:r>
              <w:t>8. Сведения об интеграции образования и науки, а также образования и сферы труд</w:t>
            </w:r>
            <w:r>
              <w:t>а</w:t>
            </w:r>
            <w:bookmarkEnd w:id="25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7" w:name="sub_81"/>
            <w:r>
              <w:t>8.1. Интеграция образования и науки</w:t>
            </w:r>
            <w:bookmarkEnd w:id="25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8" w:name="sub_811"/>
            <w:r>
              <w:t>8.1.1. Удельный вес сектора организаций высшего образования во внутренних затратах на исследования и разработки.</w:t>
            </w:r>
            <w:bookmarkEnd w:id="25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59" w:name="sub_82"/>
            <w:r>
              <w:t>8.2. Участие организаций различных отраслей экономики</w:t>
            </w:r>
            <w:r>
              <w:t xml:space="preserve"> в обеспечении и осуществлении образовательной деятельности</w:t>
            </w:r>
            <w:bookmarkEnd w:id="25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0" w:name="sub_821"/>
            <w:r>
              <w:t>8.2.1. Оценка представителями организаций реального сектора экономики распространенности их сотрудничества с образовательными организациями, реа</w:t>
            </w:r>
            <w:r>
              <w:t>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</w:t>
            </w:r>
            <w:r>
              <w:t>ики):</w:t>
            </w:r>
            <w:bookmarkEnd w:id="26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исключительно профессиональной подготовки квалифицированных рабочих, служащих;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профессиональной подготовки специалистов среднего звена;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бакалавриата, подготовки </w:t>
            </w:r>
            <w:r>
              <w:t>специалистов, магистратуры.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61" w:name="sub_509"/>
            <w:r>
              <w:t xml:space="preserve">9. Сведения об интеграции российского образования с </w:t>
            </w:r>
            <w:r>
              <w:lastRenderedPageBreak/>
              <w:t>мировым образовательным пространством</w:t>
            </w:r>
            <w:bookmarkEnd w:id="26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262" w:name="sub_91"/>
            <w:r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  <w:bookmarkEnd w:id="26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граждане СНГ.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</w:t>
            </w:r>
            <w:r>
              <w:t>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3" w:name="sub_92"/>
            <w:r>
              <w:t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магистратуры:</w:t>
            </w:r>
            <w:bookmarkEnd w:id="26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всего;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граждане СНГ.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264" w:name="sub_510"/>
            <w:r>
              <w:t>10. Развитие системы оценки качества образования и информационной прозрачности системы образования</w:t>
            </w:r>
            <w:bookmarkEnd w:id="26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5" w:name="sub_1010"/>
            <w:r>
              <w:t>10.1. Оценка деятельности системы образования гражданами</w:t>
            </w:r>
            <w:bookmarkEnd w:id="26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6" w:name="sub_1011"/>
            <w:r>
              <w:t>10.1.1. Индекс удовлетворе</w:t>
            </w:r>
            <w:r>
              <w:t>нности населения качеством образования, которое предоставляют образовательные организации.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26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7" w:name="sub_1012"/>
            <w:r>
              <w:t>10.1.2. Индекс удовлетворенности работодателей качеством подготовки в образовательных организациях профессионального образования.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26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8" w:name="sub_1020"/>
            <w:r>
              <w:t>10.2. Результаты участия обучающихся лиц в российских и международных тес</w:t>
            </w:r>
            <w:r>
              <w:t>тированиях знаний, конкурсах и олимпиадах, а также в иных аналогичных мероприятиях</w:t>
            </w:r>
            <w:bookmarkEnd w:id="26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69" w:name="sub_1021"/>
            <w: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</w:t>
            </w:r>
            <w:r>
              <w:t>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(PISA), в общей численности российских учащихся общеобразовательных</w:t>
            </w:r>
            <w:r>
              <w:t xml:space="preserve"> организаций:</w:t>
            </w:r>
            <w:bookmarkEnd w:id="26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международное исследование PIRLS.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международное исследование TIMSS: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математика (4 класс);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математика (8 класс);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естествознание (4 класс);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естествознание (8 класс).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международное исследование PISA: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t>читательская грамотность;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математическая грамотность;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естественнонаучная грамотность.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270" w:name="sub_103"/>
            <w:r>
              <w:t>10.3. Развитие механизмов государственно-частного управления в системе образования</w:t>
            </w:r>
            <w:hyperlink w:anchor="sub_10005" w:history="1">
              <w:r>
                <w:rPr>
                  <w:rStyle w:val="a4"/>
                </w:rPr>
                <w:t>*(5</w:t>
              </w:r>
              <w:r>
                <w:rPr>
                  <w:rStyle w:val="a4"/>
                </w:rPr>
                <w:t>)</w:t>
              </w:r>
            </w:hyperlink>
            <w:r>
              <w:t xml:space="preserve"> </w:t>
            </w:r>
            <w:hyperlink w:anchor="sub_10006" w:history="1">
              <w:r>
                <w:rPr>
                  <w:rStyle w:val="a4"/>
                </w:rPr>
                <w:t>*(6)</w:t>
              </w:r>
            </w:hyperlink>
            <w:bookmarkEnd w:id="27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1" w:name="sub_1031"/>
            <w:r>
              <w:t>10.3.1. Соблюдение требований по размещению и обновлению информации на официальном сайте образовательной организации в сети "Интернет", за исключение</w:t>
            </w:r>
            <w:r>
              <w:t>м сведений составляющих государственную и иную охраняемую законом тайну</w:t>
            </w:r>
            <w:bookmarkEnd w:id="27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2" w:name="sub_10311"/>
            <w:r>
              <w:t>10.3.1.1. Наличие на официальном сайте информации об образовательной организации, в том числе:</w:t>
            </w:r>
            <w:bookmarkEnd w:id="27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дате создания образовательной организации;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</w:r>
            <w: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учредителе(ях) образовательной организации;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месте нахождения образовательной организации и ее филиалов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режиме и графике работы образовательной организации;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контактных телефонах образовательной организации;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адресах электронной почты образовательной организации.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3" w:name="sub_10312"/>
            <w:r>
              <w:t>10.3.1.2. Наличие на сайте информации о структуре и об органах управления образовательной ор</w:t>
            </w:r>
            <w:r>
              <w:t>ганизацией:</w:t>
            </w:r>
            <w:bookmarkEnd w:id="27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структуре управления образовательной организацией;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органах управления образовательной организацией.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4" w:name="sub_10313"/>
            <w:r>
              <w:t>10.3.1.3. Наличие на сайте информации о реализуемых образовательных программах, в том числе с указанием сведений:</w:t>
            </w:r>
            <w:bookmarkEnd w:id="27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учебных предметах;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курсах;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дисциплинах (модулях);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практике(ах), предусмотренной соответствующей образовательной программой.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5" w:name="sub_10314"/>
            <w:r>
              <w:t>10.3.1.4. Наличие на сайте информации о численности обучающихся по реализуемым образовательным программам по источникам финансирования:</w:t>
            </w:r>
            <w:bookmarkEnd w:id="27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за</w:t>
            </w:r>
            <w:r>
              <w:t xml:space="preserve"> счет бюджетных ассигнований федерального бюджета;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за счет бюджетов субъектов Российской Федерации;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за счет местных бюджетов;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по договорам об образовании за счет средств физических и (или) ю</w:t>
            </w:r>
            <w:r>
              <w:t>ридических лиц.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6" w:name="sub_10315"/>
            <w:r>
              <w:t>10.3.1.5. Наличие на сайте информации о языках образования.</w:t>
            </w:r>
            <w:bookmarkEnd w:id="27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7" w:name="sub_10316"/>
            <w:r>
              <w:t>10.3.1.6.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  <w:bookmarkEnd w:id="27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8" w:name="sub_10317"/>
            <w:r>
              <w:t>10.3.1.7. Наличие на сайте информации об администрации образовательной организации, в том числе:</w:t>
            </w:r>
            <w:bookmarkEnd w:id="27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руководителе образовательной организации: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фамилия, имя, отчество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долж</w:t>
            </w:r>
            <w:r>
              <w:t>ность;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контактные телефоны;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адрес электронной почты;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заместителях руководителя образовательной организации: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фамилия, имя, отчество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должность;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контактные телефоны;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адрес электронной почты;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руководителях филиалов образовательной организации (при их наличии):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фамилия, имя, отчество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должность;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контактные телефоны;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адрес электронной почты.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79" w:name="sub_10318"/>
            <w:r>
              <w:t>10.3.1.8. Наличие на сайте информа</w:t>
            </w:r>
            <w:r>
              <w:t xml:space="preserve">ции о персональном составе педагогических работников с указанием уровня </w:t>
            </w:r>
            <w:r>
              <w:lastRenderedPageBreak/>
              <w:t>образования, квалификации и опыта работы, а именно:</w:t>
            </w:r>
            <w:bookmarkEnd w:id="27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фамилия, имя, отчество (при наличии) работника;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занимаемая должность (должности);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</w:t>
            </w:r>
            <w:r>
              <w:t>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преподаваемые учебные предметы, курсы, дисциплины (модули);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ученая степень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ученое звание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наименование направления подготовки и (или) специальности;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общий стаж работы;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стаж работы по специальности.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0" w:name="sub_10319"/>
            <w:r>
              <w:t>10.3.1.9. Наличие на са</w:t>
            </w:r>
            <w:r>
              <w:t>йте информации о материально-техническом обеспечении образовательной деятельности, в том числе:</w:t>
            </w:r>
            <w:bookmarkEnd w:id="28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оборудованных учебных кабинетах;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объектах для проведения практических занятий;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библиотеке (ах);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объектах спорта;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средствах обучения и воспитания;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условиях питания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условиях охраны здоровья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1" w:name="sub_103110"/>
            <w:r>
              <w:t>10.3.1.10. Наличие на сайте информац</w:t>
            </w:r>
            <w:r>
              <w:t>ии о результатах приема, перевода, восстановления и отчисления студентов, в том числе:</w:t>
            </w:r>
            <w:bookmarkEnd w:id="28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результатах приема по каждой профессии;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о результатах приема по каждой специальности среднего профессионального образования (при нали</w:t>
            </w:r>
            <w:r>
              <w:t>чии вступительных испытаний);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результатах приема по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</w:t>
            </w:r>
            <w:r>
              <w:t>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результатах перевода;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результатах восстановления и отчисления.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2" w:name="sub_103111"/>
            <w:r>
              <w:t>10.3.1.11. Наличие на сайте информации о предоставлении стипендии и мерах социальной поддержки обучающимся, в том числе:</w:t>
            </w:r>
            <w:bookmarkEnd w:id="28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 xml:space="preserve">о </w:t>
            </w:r>
            <w:r>
              <w:t>наличии и условиях предоставления обучающимся стипендий;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мерах социальной поддержки обучающихся.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3" w:name="sub_103112"/>
            <w:r>
              <w:t>10.3.1.12. Наличие на сайте информации об общежитиях:</w:t>
            </w:r>
            <w:bookmarkEnd w:id="28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наличии общежития;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</w:r>
            <w: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формировании платы за проживание в общежитии.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4" w:name="sub_103113"/>
            <w:r>
              <w:t>10.3.1.13. Наличие на сайте информации о количестве вакантны</w:t>
            </w:r>
            <w:r>
              <w:t>х мест для приема (перевода), в том числе:</w:t>
            </w:r>
            <w:bookmarkEnd w:id="28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количестве вакантных мест для приема (перевода) по каждой специальности;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</w:r>
            <w: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количестве вакантных мест для приема (перевода) по каждому направлению подготовки;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количестве вакантных мест для приема (перевода) по каждой профессии.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5" w:name="sub_103114"/>
            <w:r>
              <w:t>10.3.1.14. Наличие на сайте инфор</w:t>
            </w:r>
            <w:r>
              <w:t>мации о поступлении финансовых и материальных средств и об их расходовании, в том числе:</w:t>
            </w:r>
            <w:bookmarkEnd w:id="28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 поступлении финансовых и материальных средств по итогам финансового года;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 xml:space="preserve">о расходовании финансовых и материальных средств по </w:t>
            </w:r>
            <w:r>
              <w:lastRenderedPageBreak/>
              <w:t>итога</w:t>
            </w:r>
            <w:r>
              <w:t>м финансового года.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имеется/</w:t>
            </w:r>
            <w:r>
              <w:br/>
            </w:r>
            <w:r>
              <w:lastRenderedPageBreak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6" w:name="sub_103115"/>
            <w:r>
              <w:lastRenderedPageBreak/>
              <w:t>10.3.1.15. Наличие на сайте информации о трудоустройстве выпускников.</w:t>
            </w:r>
            <w:bookmarkEnd w:id="28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7" w:name="sub_103116"/>
            <w:r>
              <w:t>10.3.1.16. Наличие на сайте копии устава образовательной организации.</w:t>
            </w:r>
            <w:bookmarkEnd w:id="28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</w:r>
            <w: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8" w:name="sub_103117"/>
            <w:r>
              <w:t>10.3.1.17. Наличие на сайте копии лицензии на осуществление образовательной деятельности (с приложениями).</w:t>
            </w:r>
            <w:bookmarkEnd w:id="28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89" w:name="sub_103118"/>
            <w:r>
              <w:t>10.3.1.18. Наличие на сайте копии свидетельства о государственной аккредитации (с пр</w:t>
            </w:r>
            <w:r>
              <w:t>иложениями).</w:t>
            </w:r>
            <w:bookmarkEnd w:id="28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0" w:name="sub_103119"/>
            <w:r>
              <w:t>10.3.1.19. 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</w:t>
            </w:r>
            <w:r>
              <w:t>ты образовательной организации.</w:t>
            </w:r>
            <w:bookmarkEnd w:id="29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1" w:name="sub_103120"/>
            <w:r>
              <w:t>10.3.1.20. Наличие на сайте копий локальных нормативных актов, в том числе регламентирующих:</w:t>
            </w:r>
            <w:bookmarkEnd w:id="29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правила приема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режим занятий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порядок и основания перевода, отчисления и восстановления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порядок оформлени</w:t>
            </w:r>
            <w:r>
              <w:t>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правила внутреннего распорядка обучающихся;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</w:t>
            </w:r>
            <w:r>
              <w:t>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правила внутреннего трудового распорядка;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коллективный договор.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2" w:name="sub_103121"/>
            <w:r>
              <w:t>10.3.1.21. Наличие на сайте копии отчета о результатах самообследования.</w:t>
            </w:r>
            <w:bookmarkEnd w:id="29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3" w:name="sub_103122"/>
            <w:r>
              <w:t>10.3.1.22. Наличие на сайте копии документа о порядке оказания платных образовательных услуг.</w:t>
            </w:r>
            <w:bookmarkEnd w:id="29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4" w:name="sub_103123"/>
            <w:r>
              <w:t>10.3.1.23. Наличие на сайте копий предписаний органов, осуществляющих государственный контроль (надзор) в сфере образова</w:t>
            </w:r>
            <w:r>
              <w:t>ния, отчетов об исполнении таких предписаний.</w:t>
            </w:r>
            <w:bookmarkEnd w:id="29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5" w:name="sub_103124"/>
            <w:r>
              <w:t>10.3.1.24. Наличие на сайте копий разработанных и утвержденных образовательной организацией образовательных программ.</w:t>
            </w:r>
            <w:bookmarkEnd w:id="29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имеются/</w:t>
            </w:r>
            <w:r>
              <w:br/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6" w:name="sub_103125"/>
            <w:r>
              <w:lastRenderedPageBreak/>
              <w:t>10.3.1.2</w:t>
            </w:r>
            <w:r>
              <w:t>5. Наличие на сайте информации о методической обеспеченности образовательного процесса, в том числе:</w:t>
            </w:r>
            <w:bookmarkEnd w:id="29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учебных планов по всем реализуемым образовательным программам;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имеются /</w:t>
            </w:r>
            <w:r>
              <w:br/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всех рабочих программ учебных дисциплин и междисциплинарных курсов по специальностям, укрупненным группам специальностей, направлениям подготовки;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имеются /</w:t>
            </w:r>
            <w:r>
              <w:br/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всех программ практик в соответствии с требованиями федеральных госуда</w:t>
            </w:r>
            <w:r>
              <w:t>рственных образовательных стандартов;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имеются/</w:t>
            </w:r>
            <w:r>
              <w:br/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календарных учебных графиков.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имеются/</w:t>
            </w:r>
            <w:r>
              <w:br/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7" w:name="sub_103126"/>
            <w:r>
              <w:t>10.3.1.26. Размещение на сайте информации о наличии электронных образовательных и информационных ресурсов по реализуемым в соо</w:t>
            </w:r>
            <w:r>
              <w:t>тветствии с лицензией образовательным программам, в том числе:</w:t>
            </w:r>
            <w:bookmarkEnd w:id="29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собственных электронных образовательных и информационных ресурсов;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сторонних электронных образовательных и информационных ресурсов;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</w:r>
            <w: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наличие базы данных электронного каталога.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8" w:name="sub_103127"/>
            <w:r>
              <w:t xml:space="preserve">10.3.1.27. 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</w:t>
            </w:r>
            <w:r>
              <w:t>по зрению).</w:t>
            </w:r>
            <w:bookmarkEnd w:id="29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имеется/</w:t>
            </w:r>
            <w:r>
              <w:br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299" w:name="sub_1065"/>
            <w:r>
              <w:t>10.3.2.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      </w:r>
            <w:r>
              <w:t xml:space="preserve">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(далее - ФИС ГИА и приема) и (или) полнота и соответствие сведений, размещенных на официальном са</w:t>
            </w:r>
            <w:r>
              <w:t>йте образовательной организации.</w:t>
            </w:r>
            <w:bookmarkEnd w:id="29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0" w:name="sub_10321"/>
            <w:r>
              <w:t>10.3.2.1. Своевременность и полнота внесения сведений в ФИС ГИА и приема о правилах приема, об организации образовательной деятельности, а также иных сведений, объявляемых в соответствии с порядком приема</w:t>
            </w:r>
            <w:r>
              <w:t>, в том числе:</w:t>
            </w:r>
            <w:bookmarkEnd w:id="30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соблюдение установленного срока внесения сведений;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соблюдается/</w:t>
            </w:r>
            <w:r>
              <w:br/>
              <w:t>не соблюдается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правилах приема, утвержденных образовательной организацией самостоятельно;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 xml:space="preserve">внесение сведений о приоритетности вступительных испытаний при ранжировании поступающих по результатам </w:t>
            </w:r>
            <w:r>
              <w:lastRenderedPageBreak/>
              <w:t>вступительных испытаний;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формах проведения и программе вступительных испытаний, проводимых образовательной орган</w:t>
            </w:r>
            <w:r>
              <w:t>изацией самостоятельно;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минимальном количестве баллов для каждого вступительного испытания по каждому конкурсу;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порядке учета индивидуальных достижений, установленном правила</w:t>
            </w:r>
            <w:r>
              <w:t>ми приема, утвержденными образовательной организацией самостоятельно;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минимальном количестве баллов ЕГЭ, необходимых победителям и призерам олимпиад школьников для использования особого права при приеме в образовате</w:t>
            </w:r>
            <w:r>
              <w:t>льные организации высшего образования;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об особенностях проведения вступительных испытаний для лиц с ограниченными возможностями здоровья, инвалидов.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1" w:name="sub_10322"/>
            <w:r>
              <w:t xml:space="preserve">10.3.2.2. Своевременность и полнота внесения сведений в ФИС ГИА и приема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</w:t>
            </w:r>
            <w:r>
              <w:t>количестве мест для приема по договорам об образовании за счет средств физических и (или) юридических лиц, в том числе:</w:t>
            </w:r>
            <w:bookmarkEnd w:id="30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соблюдение установленного срока внесения сведений;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соблюдается/</w:t>
            </w:r>
            <w:r>
              <w:br/>
              <w:t>не соблюдается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контрольных цифрах приема</w:t>
            </w:r>
            <w:r>
              <w:t xml:space="preserve"> на обучение;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количестве мест для приема граждан на обучение за счет средств федерального бюджета;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квотах целевого приема на обучение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количестве мест для приема по договорам об образовании за счет средств физических и (или) юридических лиц;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квоте приема лиц, имеющих особые права.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2" w:name="sub_10323"/>
            <w:r>
              <w:t>10.3.2.3. Внесение</w:t>
            </w:r>
            <w:r>
              <w:t xml:space="preserve"> сведений в ФИС ГИА и приема о заявлениях о приеме в образовательную организацию, а также о заявлениях, возвращенных образовательной организацией.</w:t>
            </w:r>
            <w:bookmarkEnd w:id="30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3" w:name="sub_10324"/>
            <w:r>
              <w:t>10.3.2.4. Внесение сведений в ФИС ГИА и приема о результатах вступител</w:t>
            </w:r>
            <w:r>
              <w:t>ьных испытаний в образовательную организацию (при наличии), предоставленных льготах и зачислении лиц, успешно прошедших вступительные испытания, в том числе:</w:t>
            </w:r>
            <w:bookmarkEnd w:id="30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внесение сведений о результатах вступительных испытаний в образовательную организацию (</w:t>
            </w:r>
            <w:r>
              <w:t>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об особых правах, предоставленных поступающим при приеме;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внесение сведений о списках лиц, рекомендованных к зачислению.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4" w:name="sub_10325"/>
            <w:r>
              <w:t>10.3.2.5. Внесение сведений в ФИС ГИА и приема о заявлениях лиц, отказавшихся от зачисления.</w:t>
            </w:r>
            <w:bookmarkEnd w:id="30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внесены/</w:t>
            </w:r>
            <w:r>
              <w:br/>
              <w:t>не внесены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5" w:name="sub_10326"/>
            <w:r>
              <w:t>10.3.2.6. Соблюдение требований в части приема граждан на обучение в образовательную организацию (в том числе сведений ЕГЭ),</w:t>
            </w:r>
            <w:r>
              <w:t xml:space="preserve"> а именно:</w:t>
            </w:r>
            <w:bookmarkEnd w:id="30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соблюдение установленных сроков размещения на официальном сайте информации о начале приема документов, необходимых для поступления;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соблюдаются/</w:t>
            </w:r>
            <w:r>
              <w:br/>
              <w:t>не соблюдаются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 xml:space="preserve">соблюдение сроков проведения приемной кампании (соответствие фактической </w:t>
            </w:r>
            <w:r>
              <w:t>даты публикации приказа о зачислении и даты, установленной в нормативных правовых актах);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соблюдаются/</w:t>
            </w:r>
            <w:r>
              <w:br/>
              <w:t>не соблюдаются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соблюдение сроков окончания приемной кампании (соответствие фактической даты завершения приема документов, необходимых для поступления, п</w:t>
            </w:r>
            <w:r>
              <w:t>роведения вступительных испытаний, завершения приема заявлений о согласии на зачисление на каждом этапе зачисления);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соблюдаются/</w:t>
            </w:r>
            <w:r>
              <w:br/>
              <w:t>не соблюдаются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соответствие сведений о количестве баллов ЕГЭ в приказах о зачислении результатам, содержащимся в подсистеме ФИС ГИА и приема;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соответствует/</w:t>
            </w:r>
            <w:r>
              <w:br/>
              <w:t>не соответствует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отсутствие в приказе образовательной организации информации о зачислении на бюджетные места граж</w:t>
            </w:r>
            <w:r>
              <w:t>дан, одновременно зачисленных в другие образовательные организации высшего образования на бюджетные места;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соблюдается/</w:t>
            </w:r>
            <w:r>
              <w:br/>
              <w:t>не соблюдается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отсутствие в приказе образовательной организации информации о зачислении граждан, зачисленных по вступительным испытания</w:t>
            </w:r>
            <w:r>
              <w:t>м, проводимым образовательной организацией, при наличии соответствующих результатов ЕГЭ, за исключением приказов образовательных организаций, которые вправе проводить по предметам, по которым не проводится ЕГЭ, дополнительные вступительные испытания творче</w:t>
            </w:r>
            <w:r>
              <w:t>ской и (или) профессиональной направленности, результаты которых учитываются наряду с результатами ЕГЭ при проведении конкурса;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соблюдается/</w:t>
            </w:r>
            <w:r>
              <w:br/>
              <w:t>не собледается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отсутствие в приказе образовательной организации информации о зачислении граждан, зачисленных на вт</w:t>
            </w:r>
            <w:r>
              <w:t>орой и последующие курсы;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соблюдается/</w:t>
            </w:r>
            <w:r>
              <w:br/>
              <w:t>не соблюдается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 xml:space="preserve">отсутствие в приказе образовательной организации информации о зачислении граждан, зачисленных как победителей или призеров олимпиад школьников без наличия </w:t>
            </w:r>
            <w:r>
              <w:lastRenderedPageBreak/>
              <w:t>результатов ЕГЭ не ниже минимального количеств</w:t>
            </w:r>
            <w:r>
              <w:t>а баллов, установленных образовательной организацией, либо с наличием результатов ЕГЭ ниже минимального количества баллов, установленных образовательной организацией.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lastRenderedPageBreak/>
              <w:t>соблюдается/</w:t>
            </w:r>
            <w:r>
              <w:br/>
              <w:t>не соблюдается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6" w:name="sub_1033"/>
            <w:r>
              <w:t>10.3.3. Соответствие информации о результатах приема</w:t>
            </w:r>
            <w:r>
              <w:t>, представленной в ФИС ГИА и приема, и сведений, размещенных на официальном сайте образовательной организации.</w:t>
            </w:r>
            <w:bookmarkEnd w:id="30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7" w:name="sub_10331"/>
            <w:r>
              <w:t>10.3.3.1. Соответствие сведений, представленных на сайте образовательной организации, сведениям, представленным в ФИС ГИА и приема, в том числе:</w:t>
            </w:r>
            <w:bookmarkEnd w:id="30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правил приема, утвержденных образовательной организацией самостоятельно, сведениям о приеме на обуче</w:t>
            </w:r>
            <w:r>
              <w:t>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соответствует/</w:t>
            </w:r>
            <w:r>
              <w:br/>
              <w:t>не соответствует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информации о приоритетности вступительных испытаний при ранжировании поступающих по результатам вступительных испытаний;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соответствует/</w:t>
            </w:r>
            <w:r>
              <w:br/>
              <w:t>не соответствует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информации о формах проведения и программе вступительных испытан</w:t>
            </w:r>
            <w:r>
              <w:t>ий, проводимых образовательной организацией самостоятельно;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соответствует/</w:t>
            </w:r>
            <w:r>
              <w:br/>
              <w:t>не соответствует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информации о минимальном количестве баллов для каждого вступительного испытания по каждому конкурсу.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соответствует/</w:t>
            </w:r>
            <w:r>
              <w:br/>
              <w:t>не соответствует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8" w:name="sub_10332"/>
            <w:r>
              <w:t>10.3.3.2. Соответств</w:t>
            </w:r>
            <w:r>
              <w:t>ие сведений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</w:t>
            </w:r>
            <w:r>
              <w:t>т средств физических и (или) юридических лиц, представленных на сайте образовательной организации, и в ФИС ГИА и приема, в том числе:</w:t>
            </w:r>
            <w:bookmarkEnd w:id="30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 контрольных цифрах приема граждан на обучение;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 количестве мест для приема граждан на обучение за счет средств федерального бюджета;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 квотах целевого приема (при наличии);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 количестве мест для приема по дого</w:t>
            </w:r>
            <w:r>
              <w:t>ворам об образовании за счет средств физических и (или) юридических лиц;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 квоте приема лиц, имеющих особое право.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09" w:name="sub_10333"/>
            <w:r>
              <w:lastRenderedPageBreak/>
              <w:t>10.3.3.3. Соответствие сведений о результатах вступительн</w:t>
            </w:r>
            <w:r>
              <w:t>ых испытаний в образовательную организацию, предоставленных льготах и зачислении лиц, успешно прошедших вступительные испытания, представленных на сайте образовательной организации, сведениям, представленным в ФИС ГИА и приема, в том числе:</w:t>
            </w:r>
            <w:bookmarkEnd w:id="30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 результатах вступительных испытаний в образовательную организацию;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сведений об особых правах, предоставленных поступающим при приеме;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r>
              <w:t xml:space="preserve">сведений о зачислении лиц, успешно прошедших </w:t>
            </w:r>
            <w:r>
              <w:t>вступительные испытания.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10" w:name="sub_10334"/>
            <w:r>
              <w:t>10.3.3.4.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</w:t>
            </w:r>
            <w:r>
              <w:t>ровням подготовки специалистов, учебных предметов, факультативных и элективных курсов.</w:t>
            </w:r>
            <w:bookmarkEnd w:id="31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соответствуют/</w:t>
            </w:r>
            <w:r>
              <w:br/>
              <w:t>не соответствуют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8FB">
            <w:pPr>
              <w:pStyle w:val="ac"/>
            </w:pPr>
            <w:bookmarkStart w:id="311" w:name="sub_10335"/>
            <w:r>
              <w:t>10.3.3.5. Соответствие образовательных программ, учебных планов, рабочих программ дисциплин (модулей), календарных уче</w:t>
            </w:r>
            <w:r>
              <w:t>бных графиков требованиям федеральных государственных образовательных стандартов.</w:t>
            </w:r>
            <w:bookmarkEnd w:id="31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соответствует/</w:t>
            </w:r>
            <w:r>
              <w:br/>
              <w:t>не соответствует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2" w:name="sub_104"/>
            <w:r>
              <w:t>10.4. Развитие региональных систем оценки качества образования</w:t>
            </w:r>
            <w:bookmarkEnd w:id="31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3" w:name="sub_1041"/>
            <w:r>
              <w:t>10.4.1. Удельный вес о</w:t>
            </w:r>
            <w:r>
              <w:t>бразовательных организаций, охваченных инструментами независимой системы оценки качества образования, в общем числе образовательных организаций.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31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1"/>
            </w:pPr>
            <w:bookmarkStart w:id="314" w:name="sub_511"/>
            <w:r>
              <w:t>11. Сведения о создании условий социализации и самореали</w:t>
            </w:r>
            <w:r>
              <w:t>зации молодежи (в том числе лиц, обучающихся по уровням и видам образования)</w:t>
            </w:r>
            <w:bookmarkEnd w:id="314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5" w:name="sub_1110"/>
            <w:r>
              <w:t>11.1. Социально-демографические характеристики и социальная интеграция</w:t>
            </w:r>
            <w:bookmarkEnd w:id="315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6" w:name="sub_1111"/>
            <w:r>
              <w:t>11.1.1. Удельный вес населения в возрасте 5-18 лет, охваченного образован</w:t>
            </w:r>
            <w:r>
              <w:t>ием, в общей численности населения в возрасте 5-18 лет.</w:t>
            </w:r>
            <w:bookmarkEnd w:id="316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7" w:name="sub_1112"/>
            <w:r>
              <w:t xml:space="preserve"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</w:t>
            </w:r>
            <w:r>
              <w:t>соответствующего уровня в общей численности выпускников):</w:t>
            </w:r>
            <w:bookmarkEnd w:id="317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 xml:space="preserve">образовательные программы среднего профессионального </w:t>
            </w:r>
            <w:r>
              <w:lastRenderedPageBreak/>
              <w:t>образования - программы подготовки квалифицированных рабочих, служащих;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lastRenderedPageBreak/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образовательные программы высшего образования - программы бакалавриата;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программы высшего образования - программы подгото</w:t>
            </w:r>
            <w:r>
              <w:t>вки специалитета;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r>
              <w:t>образовательные программы высшего образования - программы магистратуры;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r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8" w:name="sub_1120"/>
            <w:r>
              <w:t>11.2. Ценностные ориентации молодежи и ее участие в общественных достижениях</w:t>
            </w:r>
            <w:bookmarkEnd w:id="318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19" w:name="sub_1121"/>
            <w:r>
              <w:t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</w:t>
            </w:r>
            <w:r>
              <w:t>лодежи в возрасте от 14 до 30 лет.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 xml:space="preserve"> (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  <w:bookmarkEnd w:id="319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20" w:name="sub_1130"/>
            <w:r>
              <w:t>11.3. Образование и занятость молодежи</w:t>
            </w:r>
            <w:bookmarkEnd w:id="320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21" w:name="sub_1131"/>
            <w:r>
              <w:t>11.3.1. Оценка удельного веса лиц, совмещающих учёбу и работу, в общей численности студентов старших курсов образовательных организаций высшего образования.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bookmarkEnd w:id="32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658FB">
            <w:pPr>
              <w:pStyle w:val="ac"/>
            </w:pPr>
            <w:bookmarkStart w:id="322" w:name="sub_1140"/>
            <w:r>
              <w:t>11.4. Деятельность федеральных органов испо</w:t>
            </w:r>
            <w:r>
              <w:t>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  <w:bookmarkEnd w:id="322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58F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658FB">
            <w:pPr>
              <w:pStyle w:val="ac"/>
            </w:pPr>
            <w:bookmarkStart w:id="323" w:name="sub_1141"/>
            <w:r>
              <w:t>11.4.1. Удельный вес численности молодых людей в возрасте от 14 до 30 лет, вовлеченных в реализуем</w:t>
            </w:r>
            <w:r>
              <w:t>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</w:t>
            </w:r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 xml:space="preserve"> (</w:t>
            </w:r>
            <w:hyperlink w:anchor="sub_1000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  <w:bookmarkEnd w:id="323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58FB">
            <w:pPr>
              <w:pStyle w:val="ac"/>
            </w:pPr>
            <w:r>
              <w:t>процент</w:t>
            </w:r>
          </w:p>
        </w:tc>
      </w:tr>
    </w:tbl>
    <w:p w:rsidR="00000000" w:rsidRDefault="004658FB"/>
    <w:p w:rsidR="00000000" w:rsidRDefault="004658FB">
      <w:bookmarkStart w:id="324" w:name="sub_10001"/>
      <w:r>
        <w:t>*(1) - сбор данных осуществляется в целом по Российской Федерации без детализации по субъектам Российской Федерации;</w:t>
      </w:r>
    </w:p>
    <w:p w:rsidR="00000000" w:rsidRDefault="004658FB">
      <w:bookmarkStart w:id="325" w:name="sub_10002"/>
      <w:bookmarkEnd w:id="324"/>
      <w:r>
        <w:t>*(2) - сбор данных начинается с 2015 года;</w:t>
      </w:r>
    </w:p>
    <w:p w:rsidR="00000000" w:rsidRDefault="004658FB">
      <w:bookmarkStart w:id="326" w:name="sub_10003"/>
      <w:bookmarkEnd w:id="325"/>
      <w:r>
        <w:t xml:space="preserve">*(3) - по разделу также осуществляется сбор данных в соответствии с </w:t>
      </w:r>
      <w:hyperlink r:id="rId12" w:history="1">
        <w:r>
          <w:rPr>
            <w:rStyle w:val="a4"/>
          </w:rPr>
          <w:t>показателями</w:t>
        </w:r>
      </w:hyperlink>
      <w:r>
        <w:t xml:space="preserve"> деятельности образовательной организации высшего образования, подлежащей самообследованию, утверж</w:t>
      </w:r>
      <w:r>
        <w:t xml:space="preserve">денными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</w:t>
      </w:r>
      <w:r>
        <w:t>нный N 31135);</w:t>
      </w:r>
    </w:p>
    <w:p w:rsidR="00000000" w:rsidRDefault="004658FB">
      <w:bookmarkStart w:id="327" w:name="sub_10004"/>
      <w:bookmarkEnd w:id="326"/>
      <w:r>
        <w:t>*(4) - сбор данных начинается с 2016 года;</w:t>
      </w:r>
    </w:p>
    <w:bookmarkEnd w:id="327"/>
    <w:p w:rsidR="00000000" w:rsidRDefault="004658F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58FB">
      <w:pPr>
        <w:pStyle w:val="a7"/>
        <w:rPr>
          <w:shd w:val="clear" w:color="auto" w:fill="F0F0F0"/>
        </w:rPr>
      </w:pPr>
      <w:bookmarkStart w:id="328" w:name="sub_10005"/>
      <w:r>
        <w:lastRenderedPageBreak/>
        <w:t xml:space="preserve"> </w:t>
      </w:r>
      <w:hyperlink r:id="rId1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ноября 2016 г. N 1399 приложение </w:t>
      </w:r>
      <w:r>
        <w:rPr>
          <w:shd w:val="clear" w:color="auto" w:fill="F0F0F0"/>
        </w:rPr>
        <w:t>дополнено сноской *(5)</w:t>
      </w:r>
    </w:p>
    <w:bookmarkEnd w:id="328"/>
    <w:p w:rsidR="00000000" w:rsidRDefault="004658FB">
      <w:r>
        <w:t>*(5)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</w:t>
      </w:r>
      <w:r>
        <w:t>номочия по государственному контролю (надзору) в сфере образования, в рамках государственного контроля (надзора) в сфере образования из открытых источников и не запрашивается у организаций, осуществляющих образовательную деятельность;</w:t>
      </w:r>
    </w:p>
    <w:p w:rsidR="00000000" w:rsidRDefault="004658F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p w:rsidR="00000000" w:rsidRDefault="004658FB">
      <w:pPr>
        <w:pStyle w:val="a7"/>
        <w:rPr>
          <w:shd w:val="clear" w:color="auto" w:fill="F0F0F0"/>
        </w:rPr>
      </w:pPr>
      <w:bookmarkStart w:id="329" w:name="sub_10006"/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ноября 2016 г. N 1399 приложение дополнено сноской *(6)</w:t>
      </w:r>
    </w:p>
    <w:bookmarkEnd w:id="329"/>
    <w:p w:rsidR="00000000" w:rsidRDefault="004658FB">
      <w:r>
        <w:t>*(6) Собранные данные используются в качестве показателей без дополнительн</w:t>
      </w:r>
      <w:r>
        <w:t>ого расчета и приведения в итоговом отчете о результатах анализа состояния и перспектив развития системы образования.</w:t>
      </w:r>
    </w:p>
    <w:p w:rsidR="00000000" w:rsidRDefault="004658FB"/>
    <w:p w:rsidR="004658FB" w:rsidRDefault="004658FB"/>
    <w:sectPr w:rsidR="004658FB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FB" w:rsidRDefault="004658FB">
      <w:r>
        <w:separator/>
      </w:r>
    </w:p>
  </w:endnote>
  <w:endnote w:type="continuationSeparator" w:id="0">
    <w:p w:rsidR="004658FB" w:rsidRDefault="0046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658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14.08.2024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58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58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21F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21FB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21F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21FB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FB" w:rsidRDefault="004658FB">
      <w:r>
        <w:separator/>
      </w:r>
    </w:p>
  </w:footnote>
  <w:footnote w:type="continuationSeparator" w:id="0">
    <w:p w:rsidR="004658FB" w:rsidRDefault="0046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658F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15 января 2014 г. N 14 "Об утверждении показателей…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B9"/>
    <w:rsid w:val="004658FB"/>
    <w:rsid w:val="0062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8A8F61-A7D7-4912-B975-DE8669E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70429494/1004" TargetMode="External"/><Relationship Id="rId13" Type="http://schemas.openxmlformats.org/officeDocument/2006/relationships/hyperlink" Target="https://demo.garant.ru/document/redirect/70581476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document/redirect/71787160/21" TargetMode="External"/><Relationship Id="rId12" Type="http://schemas.openxmlformats.org/officeDocument/2006/relationships/hyperlink" Target="https://demo.garant.ru/document/redirect/70581476/40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57412888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mo.garant.ru/document/redirect/71552100/1004" TargetMode="External"/><Relationship Id="rId10" Type="http://schemas.openxmlformats.org/officeDocument/2006/relationships/hyperlink" Target="https://demo.garant.ru/document/redirect/71552100/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70429494/0" TargetMode="External"/><Relationship Id="rId14" Type="http://schemas.openxmlformats.org/officeDocument/2006/relationships/hyperlink" Target="https://demo.garant.ru/document/redirect/71552100/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13883</Words>
  <Characters>79136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Anastasia</cp:lastModifiedBy>
  <cp:revision>2</cp:revision>
  <dcterms:created xsi:type="dcterms:W3CDTF">2024-08-14T20:36:00Z</dcterms:created>
  <dcterms:modified xsi:type="dcterms:W3CDTF">2024-08-14T20:36:00Z</dcterms:modified>
</cp:coreProperties>
</file>