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cs="Times New Roman"/>
            <w:color w:val="0000FF"/>
          </w:rPr>
          <w:t>КонсультантПлюс</w:t>
        </w:r>
        <w:proofErr w:type="spellEnd"/>
      </w:hyperlink>
      <w:r>
        <w:rPr>
          <w:rFonts w:cs="Times New Roman"/>
        </w:rPr>
        <w:br/>
      </w:r>
    </w:p>
    <w:p w:rsidR="00BC44A4" w:rsidRDefault="00BC44A4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  <w:bookmarkStart w:id="0" w:name="Par1"/>
      <w:bookmarkEnd w:id="0"/>
      <w:r>
        <w:rPr>
          <w:rFonts w:cs="Times New Roman"/>
        </w:rPr>
        <w:t>Зарегистрировано в Минюсте России 17 декабря 2014 г. N 35217</w:t>
      </w:r>
    </w:p>
    <w:p w:rsidR="00BC44A4" w:rsidRDefault="00BC44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МИНИСТЕРСТВО ОБРАЗОВАНИЯ И НАУКИ РОССИЙСКОЙ ФЕДЕРАЦИИ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ПРИКАЗ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 21 ноября 2014 г. N 1489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 УТВЕРЖДЕНИИ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ФЕДЕРАЛЬНОГО ГОСУДАРСТВЕННОГО ОБРАЗОВАТЕЛЬНОГО СТАНДАРТА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ВЫСШЕГО ОБРАЗОВАНИЯ ПО НАПРАВЛЕНИЮ ПОДГОТОВКИ 15.04.02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ТЕХНОЛОГИЧЕСКИЕ МАШИНЫ И ОБОРУДОВАНИЕ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(УРОВЕНЬ МАГИСТРАТУРЫ)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 </w:t>
      </w:r>
      <w:hyperlink r:id="rId6" w:history="1">
        <w:r>
          <w:rPr>
            <w:rFonts w:cs="Times New Roman"/>
            <w:color w:val="0000FF"/>
          </w:rPr>
          <w:t>подпунктом 5.2.41</w:t>
        </w:r>
      </w:hyperlink>
      <w:r>
        <w:rPr>
          <w:rFonts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N 27, ст. 3776), и </w:t>
      </w:r>
      <w:hyperlink r:id="rId7" w:history="1">
        <w:r>
          <w:rPr>
            <w:rFonts w:cs="Times New Roman"/>
            <w:color w:val="0000FF"/>
          </w:rPr>
          <w:t>пунктом 17</w:t>
        </w:r>
      </w:hyperlink>
      <w:r>
        <w:rPr>
          <w:rFonts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Утвердить прилагаемый федеральный государственный образовательный </w:t>
      </w:r>
      <w:hyperlink w:anchor="Par36" w:history="1">
        <w:r>
          <w:rPr>
            <w:rFonts w:cs="Times New Roman"/>
            <w:color w:val="0000FF"/>
          </w:rPr>
          <w:t>стандарт</w:t>
        </w:r>
      </w:hyperlink>
      <w:r>
        <w:rPr>
          <w:rFonts w:cs="Times New Roman"/>
        </w:rPr>
        <w:t xml:space="preserve"> высшего образования по направлению подготовки 15.04.02 Технологические машины и оборудование (уровень магистратуры).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1. Признать утратившими силу:</w:t>
      </w:r>
    </w:p>
    <w:p w:rsidR="00BC44A4" w:rsidRDefault="00E96010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8" w:history="1">
        <w:r w:rsidR="00BC44A4">
          <w:rPr>
            <w:rFonts w:cs="Times New Roman"/>
            <w:color w:val="0000FF"/>
          </w:rPr>
          <w:t>приказ</w:t>
        </w:r>
      </w:hyperlink>
      <w:r w:rsidR="00BC44A4">
        <w:rPr>
          <w:rFonts w:cs="Times New Roman"/>
        </w:rPr>
        <w:t xml:space="preserve"> Министерства образования и науки Российской Федерации от 9 ноября 2009 г. N 539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151000 Технологические машины и оборудование (квалификация (степень) "магистр")" (зарегистрирован Министерством юстиции Российской Федерации 18 декабря 2009 г., регистрационный 15732);</w:t>
      </w:r>
    </w:p>
    <w:p w:rsidR="00BC44A4" w:rsidRDefault="00E96010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9" w:history="1">
        <w:r w:rsidR="00BC44A4">
          <w:rPr>
            <w:rFonts w:cs="Times New Roman"/>
            <w:color w:val="0000FF"/>
          </w:rPr>
          <w:t>пункт 17</w:t>
        </w:r>
      </w:hyperlink>
      <w:r w:rsidR="00BC44A4">
        <w:rPr>
          <w:rFonts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</w:t>
      </w:r>
      <w:r w:rsidR="00BC44A4">
        <w:rPr>
          <w:rFonts w:cs="Times New Roman"/>
        </w:rPr>
        <w:lastRenderedPageBreak/>
        <w:t>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BC44A4" w:rsidRDefault="00E96010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hyperlink r:id="rId10" w:history="1">
        <w:r w:rsidR="00BC44A4">
          <w:rPr>
            <w:rFonts w:cs="Times New Roman"/>
            <w:color w:val="0000FF"/>
          </w:rPr>
          <w:t>пункт 105</w:t>
        </w:r>
      </w:hyperlink>
      <w:r w:rsidR="00BC44A4">
        <w:rPr>
          <w:rFonts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Министр</w:t>
      </w:r>
    </w:p>
    <w:p w:rsidR="00BC44A4" w:rsidRDefault="00BC44A4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Д.В.ЛИВАНОВ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" w:name="Par29"/>
      <w:bookmarkEnd w:id="1"/>
      <w:r>
        <w:rPr>
          <w:rFonts w:cs="Times New Roman"/>
        </w:rPr>
        <w:t>Приложение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Утвержден</w:t>
      </w:r>
    </w:p>
    <w:p w:rsidR="00BC44A4" w:rsidRDefault="00BC44A4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приказом Министерства образования</w:t>
      </w:r>
    </w:p>
    <w:p w:rsidR="00BC44A4" w:rsidRDefault="00BC44A4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и науки Российской Федерации</w:t>
      </w:r>
    </w:p>
    <w:p w:rsidR="00BC44A4" w:rsidRDefault="00BC44A4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от 21 ноября 2014 г. N 1489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bookmarkStart w:id="2" w:name="Par36"/>
      <w:bookmarkEnd w:id="2"/>
      <w:r>
        <w:rPr>
          <w:rFonts w:cs="Times New Roman"/>
          <w:b/>
          <w:bCs/>
        </w:rPr>
        <w:t>ФЕДЕРАЛЬНЫЙ ГОСУДАРСТВЕННЫЙ ОБРАЗОВАТЕЛЬНЫЙ СТАНДАРТ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ВЫСШЕГО ОБРАЗОВАНИЯ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УРОВЕНЬ ВЫСШЕГО ОБРАЗОВАНИЯ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МАГИСТРАТУРА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НАПРАВЛЕНИЕ ПОДГОТОВКИ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15.04.02 ТЕХНОЛОГИЧЕСКИЕ МАШИНЫ И ОБОРУДОВАНИЕ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3" w:name="Par45"/>
      <w:bookmarkEnd w:id="3"/>
      <w:r>
        <w:rPr>
          <w:rFonts w:cs="Times New Roman"/>
        </w:rPr>
        <w:t>I. ОБЛАСТЬ ПРИМЕНЕНИЯ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15.04.02 Технологические машины и оборудование (далее соответственно - программа магистратуры, направление подготовки).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4" w:name="Par49"/>
      <w:bookmarkEnd w:id="4"/>
      <w:r>
        <w:rPr>
          <w:rFonts w:cs="Times New Roman"/>
        </w:rPr>
        <w:t>II. ИСПОЛЬЗУЕМЫЕ СОКРАЩЕНИЯ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ОК</w:t>
      </w:r>
      <w:proofErr w:type="gramEnd"/>
      <w:r>
        <w:rPr>
          <w:rFonts w:cs="Times New Roman"/>
        </w:rPr>
        <w:t xml:space="preserve"> - общекультурные компетенции;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ОПК - общепрофессиональные компетенции;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ПК - профессиональные компетенции;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ФГОС </w:t>
      </w:r>
      <w:proofErr w:type="gramStart"/>
      <w:r>
        <w:rPr>
          <w:rFonts w:cs="Times New Roman"/>
        </w:rPr>
        <w:t>ВО</w:t>
      </w:r>
      <w:proofErr w:type="gramEnd"/>
      <w:r>
        <w:rPr>
          <w:rFonts w:cs="Times New Roman"/>
        </w:rPr>
        <w:t xml:space="preserve"> - федеральный государственный образовательный стандарт высшего образования;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сетевая форма - сетевая форма реализации образовательных программ.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5" w:name="Par58"/>
      <w:bookmarkEnd w:id="5"/>
      <w:r>
        <w:rPr>
          <w:rFonts w:cs="Times New Roman"/>
        </w:rPr>
        <w:t>III. ХАРАКТЕРИСТИКА НАПРАВЛЕНИЯ ПОДГОТОВКИ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3.2. </w:t>
      </w:r>
      <w:proofErr w:type="gramStart"/>
      <w:r>
        <w:rPr>
          <w:rFonts w:cs="Times New Roman"/>
        </w:rP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cs="Times New Roman"/>
        </w:rPr>
        <w:t>з.е</w:t>
      </w:r>
      <w:proofErr w:type="spellEnd"/>
      <w:r>
        <w:rPr>
          <w:rFonts w:cs="Times New Roman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3.3. Срок получения образования по программе магистратуры: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rPr>
          <w:rFonts w:cs="Times New Roman"/>
        </w:rPr>
        <w:t>з.е</w:t>
      </w:r>
      <w:proofErr w:type="spellEnd"/>
      <w:r>
        <w:rPr>
          <w:rFonts w:cs="Times New Roman"/>
        </w:rPr>
        <w:t>.;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организации), по сравнению со сроком получения образования по очной форме обучения. Объем программы магистратуры в очно-заочной форме обучения, реализуемый за один учебный год, определяется организацией самостоятельно;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при </w:t>
      </w:r>
      <w:proofErr w:type="gramStart"/>
      <w:r>
        <w:rPr>
          <w:rFonts w:cs="Times New Roman"/>
        </w:rPr>
        <w:t>обучении</w:t>
      </w:r>
      <w:proofErr w:type="gramEnd"/>
      <w:r>
        <w:rPr>
          <w:rFonts w:cs="Times New Roman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rPr>
          <w:rFonts w:cs="Times New Roman"/>
        </w:rPr>
        <w:t>обучении</w:t>
      </w:r>
      <w:proofErr w:type="gramEnd"/>
      <w:r>
        <w:rPr>
          <w:rFonts w:cs="Times New Roman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cs="Times New Roman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cs="Times New Roman"/>
        </w:rPr>
        <w:t xml:space="preserve"> обучения не может составлять более 75 </w:t>
      </w:r>
      <w:proofErr w:type="spellStart"/>
      <w:r>
        <w:rPr>
          <w:rFonts w:cs="Times New Roman"/>
        </w:rPr>
        <w:t>з.е</w:t>
      </w:r>
      <w:proofErr w:type="spellEnd"/>
      <w:r>
        <w:rPr>
          <w:rFonts w:cs="Times New Roman"/>
        </w:rPr>
        <w:t>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3.4. При реализации программы магистратуры организация вправе </w:t>
      </w:r>
      <w:r>
        <w:rPr>
          <w:rFonts w:cs="Times New Roman"/>
        </w:rPr>
        <w:lastRenderedPageBreak/>
        <w:t>применять электронное обучение и дистанционные образовательные технологии.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3.5. Реализация программы магистратуры возможна с использованием сетевой формы.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6" w:name="Par72"/>
      <w:bookmarkEnd w:id="6"/>
      <w:r>
        <w:rPr>
          <w:rFonts w:cs="Times New Roman"/>
        </w:rPr>
        <w:t>IV. ХАРАКТЕРИСТИКА ПРОФЕССИОНАЛЬНОЙ ДЕЯТЕЛЬНОСТИ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ВЫПУСКНИКОВ, ОСВОИВШИХ ПРОГРАММУ МАГИСТРАТУРЫ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4.1. Область профессиональной деятельности выпускников, освоивших программу магистратуры, включает педагогическую деятельность, а также разделы науки и техники, содержащие совокупность средств, приемов, способов и методов человеческой деятельности, направленной на создание конкурентоспособной продукции машиностроения и основанной </w:t>
      </w:r>
      <w:proofErr w:type="gramStart"/>
      <w:r>
        <w:rPr>
          <w:rFonts w:cs="Times New Roman"/>
        </w:rPr>
        <w:t>на</w:t>
      </w:r>
      <w:proofErr w:type="gramEnd"/>
      <w:r>
        <w:rPr>
          <w:rFonts w:cs="Times New Roman"/>
        </w:rPr>
        <w:t>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применении</w:t>
      </w:r>
      <w:proofErr w:type="gramEnd"/>
      <w:r>
        <w:rPr>
          <w:rFonts w:cs="Times New Roman"/>
        </w:rPr>
        <w:t xml:space="preserve"> современных методов проектирования, расчета, математического, физического и компьютерного моделирования;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использовании</w:t>
      </w:r>
      <w:proofErr w:type="gramEnd"/>
      <w:r>
        <w:rPr>
          <w:rFonts w:cs="Times New Roman"/>
        </w:rPr>
        <w:t xml:space="preserve"> средств конструкторско-технологической информатики и автоматизированного проектирования;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создании</w:t>
      </w:r>
      <w:proofErr w:type="gramEnd"/>
      <w:r>
        <w:rPr>
          <w:rFonts w:cs="Times New Roman"/>
        </w:rPr>
        <w:t xml:space="preserve"> систем управления качеством применительно к конкретным условиям производства на основе международных стандартов;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проведении</w:t>
      </w:r>
      <w:proofErr w:type="gramEnd"/>
      <w:r>
        <w:rPr>
          <w:rFonts w:cs="Times New Roman"/>
        </w:rPr>
        <w:t xml:space="preserve"> маркетинговых исследований с поиском оптимальных решений при создании продукции с учетом требований качества, надежности и стоимости, а также сроков ее изготовления, безопасности жизнедеятельности и экологической чистоты.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4.2. Объектами профессиональной деятельности выпускников, освоивших программу магистратуры, являются: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машины и оборудование различных комплексов и машиностроительных производств, технологическое оборудование;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вакуумные и компрессорные машины, гидравлические машины, гидроприводы и </w:t>
      </w:r>
      <w:proofErr w:type="spellStart"/>
      <w:r>
        <w:rPr>
          <w:rFonts w:cs="Times New Roman"/>
        </w:rPr>
        <w:t>гидропневмоавтоматика</w:t>
      </w:r>
      <w:proofErr w:type="spellEnd"/>
      <w:r>
        <w:rPr>
          <w:rFonts w:cs="Times New Roman"/>
        </w:rPr>
        <w:t>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технологическая оснастка и средства механизации и автоматизации технологических процессов машиностроения;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производственные технологические процессы, их разработка и освоение новых технологий;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нормативно-техническая документация, системы стандартизации и сертификации, методы и средства испытаний и контроля качества изделий </w:t>
      </w:r>
      <w:r>
        <w:rPr>
          <w:rFonts w:cs="Times New Roman"/>
        </w:rPr>
        <w:lastRenderedPageBreak/>
        <w:t>машиностроения;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образовательные организации.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 и педагогическая;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проектно-конструкторская.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 деятельность: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проектирование машин, приводов, систем, технологических процессов с использованием автоматизированных систем технологической подготовки производства машин, приводов, систем;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норм выработки, технологических нормативов на расход рабочих материалов, топлива и электроэнергии, а также выбор оборудования и технологической оснастки;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технических заданий на проектирование и изготовление машин, приводов, систем, нестандартного оборудования и технологической оснастки машин, приводов, систем;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обеспечение технологичности изделий и процессов изготовления изделий машиностроения;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оценка экономической эффективности технологических процессов;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исследование и анализ причин брака при проектировании, изготовлении, испытаниях, эксплуатации, утилизации технических изделий и систем и разработка предложений по его предупреждению и устранению;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мероприятий по комплексному использованию сырья, замене дефицитных материалов и изыскание способов утилизации отходов производства;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выбор систем обеспечения экологической безопасности при проведении работ;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осуществление технического контроля и управление качеством при проектировании, изготовлении, испытаниях, эксплуатации, утилизации технических изделий и систем;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обеспечение заданного уровня качества продукции с учетом международных стандартов ИСО 9000;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 деятельность: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работы коллектива исполнителей, принятие исполнительских решений в условиях различных мнений, определение порядка выполнения работ;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поиск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подготовка заявок на изобретения и промышленные образцы;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оценка стоимости объектов интеллектуальной деятельности;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в подразделении работ по совершенствованию, модернизации, унификации выпускаемых изделий и их элементов с разработкой проектов стандартов и сертификатов;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повышения квалификации и тренинга сотрудников подразделений в области инновационной деятельности;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подготовка отзывов и заключений на проекты стандартов, рационализаторские предложения и изобретения;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организация работ по осуществлению авторского надзора при изготовлении, монтаже, наладке, испытаниях и сдаче в эксплуатацию выпускаемых изделий и объектов;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маркетинга и подготовка бизнес-планов выпуска и реализации перспективных и конкурентоспособных изделий;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адаптация современных версий систем управления качеством к конкретным условиям производства на основе международных стандартов;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поддержка единого информационного пространства планирования и управления предприятием на всех этапах жизненного цикла производимой продукции;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планов и программ организации инновационной деятельности на предприятии;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управление программами освоения новой продукции и технологии;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координация работы персонала для комплексного решения инновационных проблем от идеи до серийного производства;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 и педагогическая деятельность: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постановка, планирование и проведение научно-исследовательских работ теоретического и прикладного характера в объектах сферы профессиональной деятельности;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разработка моделей физических процессов в объектах сферы </w:t>
      </w:r>
      <w:r>
        <w:rPr>
          <w:rFonts w:cs="Times New Roman"/>
        </w:rPr>
        <w:lastRenderedPageBreak/>
        <w:t>профессиональной деятельности;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новых методов экспериментальных исследований;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анализ результатов исследований и их обобщение;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подготовка научно-технических отчетов, обзоров и публикаций по результатам выполненных исследований и разработок;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фиксация и защита объектов интеллектуальной собственности;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управление результатами научно-исследовательской деятельности и коммерциализация прав на объекты интеллектуальной собственности;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использование современных психолого-педагогических теорий и методов в профессиональной деятельности;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проектно-конструкторская деятельность: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перспективных конструкций;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оптимизация проектных решений с учетом природоохранных и энергосберегающих технологий;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создание прикладных программ расчета;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экспертизы проектно-конструкторских и технологических разработок;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патентных исследований с целью обеспечения патентной чистоты и патентоспособности новых проектных решений и определения показателей технического уровня проектируемых изделий;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эскизных, технических и рабочих проектов сложных изделий с использованием средств автоматизированного проектирования и передового опыта разработки конкурентоспособных изделий;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технических расчетов по проектам, технико-экономического и функционально-стоимостного анализа эффективности проектируемых изделий и конструкций;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разработка методических и нормативных документов, технической документации, а также предложений по реализации разработанных проектов и программ;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оценка инновационных потенциалов проектов;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оценка инновационных рисков коммерциализации проектов.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7" w:name="Par146"/>
      <w:bookmarkEnd w:id="7"/>
      <w:r>
        <w:rPr>
          <w:rFonts w:cs="Times New Roman"/>
        </w:rPr>
        <w:t>V. ТРЕБОВАНИЯ К РЕЗУЛЬТАТАМ ОСВОЕНИЯ ПРОГРАММЫ МАГИСТРАТУРЫ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совершенствовать и развивать свой интеллектуальный и общекультурный уровень (ОК-1);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 (ОК-6);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 (ОК-7).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5.3. Выпускник, освоивший программу магистратуры, должен обладать следующими общепрофессиональными компетенциями: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 (ОПК-2);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(ОПК-4);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обеспечивать защиту и оценку стоимости объектов интеллектуальной деятельности (ОПК-6);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организовывать работу по повышению научно-</w:t>
      </w:r>
      <w:r>
        <w:rPr>
          <w:rFonts w:cs="Times New Roman"/>
        </w:rPr>
        <w:lastRenderedPageBreak/>
        <w:t>технических знаний работников (ОПК-7).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5.4. </w:t>
      </w:r>
      <w:proofErr w:type="gramStart"/>
      <w:r>
        <w:rPr>
          <w:rFonts w:cs="Times New Roman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производственно-технологическая деятельность: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технические задания на проектирование и изготовление машин, приводов, систем и нестандартного оборудования и средств технологического оснащения, выбирать оборудование и технологическую оснастку (ПК-1);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нормы выработки и технологические нормативы на расход материалов, заготовок, топлива и электроэнергии (ПК-2);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(ПК-3);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методические и нормативные материалы, а также предложения и мероприятия по осуществлению разработанных проектов и программ (ПК-4);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осуществлять экспертизу технической документации (ПК-5);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организационно-управленческая деятельность: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способностью организовывать работу коллективов исполнителей, принимать исполнительские решения в условиях спектра мнений, определять порядок выполнения работ, организовывать в подразделении работы по совершенствованию, модернизации, унификации выпускаемых изделий и их элементов, по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 (ПК-6);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к работе в многонациональных коллективах, в том числе при работе над междисциплинарными и инновационными проектами, создавать в коллективах отношения делового сотрудничества (ПК-7);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(ПК-8);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подготавливать заявки на изобретения и промышленные образцы, организовывать работы по осуществлению авторского надзора при изготовлении, монтаже, наладке, испытаниях и сдаче в эксплуатацию выпускаемых изделий и объектов (ПК-9);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способностью разрабатывать планы и программы организации инновационной деятельности на предприятии, оценивать инновационные и технологические риски при внедрении новых технологий, организовывать повышение квалификации и тренинг сотрудников подразделений в области </w:t>
      </w:r>
      <w:r>
        <w:rPr>
          <w:rFonts w:cs="Times New Roman"/>
        </w:rPr>
        <w:lastRenderedPageBreak/>
        <w:t>инновационной деятельности и координировать работу персонала при комплексном решении инновационных проблем (ПК-10);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обеспечивать защиту и оценку стоимости объектов интеллектуальной деятельности (ПК-11);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подготавливать отзывы и заключения на проекты стандартов, рационализаторские предложения и изобретения (ПК-12);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проводить маркетинговые исследования и подготавливать бизнес-планы выпуска и реализации перспективных и конкурентоспособных изделий (ПК-13);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обеспечивать управление программами освоения новой продукции и технологий, проводить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 (ПК-14);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мероприятия по комплексному использованию сырья, по замене дефицитных материалов и изысканию способов утилизации отходов производства (ПК-15);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изучать и анализировать необходимую информацию, технические данные, показатели и результаты работы, систематизировать их и обобщать (ПК-16);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организовывать работу по повышению научно-технических знаний работников (ПК-17);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организовать развитие творческой инициативы, рационализации, изобретательства, внедрение достижений отечественной и зарубежной науки, техники, использование передового опыта, обеспечивающих эффективную работу подразделения, предприятия (ПК-18);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научно-исследовательская и педагогическая деятельность: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 (ПК-20);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подготавливать научно-технические отчеты, обзоры, публикации по результатам выполненных исследований (ПК-21);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и готов использовать современные психолого-педагогические теории и методы в профессиональной деятельности (ПК-22);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проектно-конструкторская деятельность: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способностью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</w:t>
      </w:r>
      <w:r>
        <w:rPr>
          <w:rFonts w:cs="Times New Roman"/>
        </w:rPr>
        <w:lastRenderedPageBreak/>
        <w:t>изделий, участвовать в рассмотрении различной технической документации, подготавливать необходимые обзоры, отзывы, заключения (ПК-23);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составлять описания принципов действия и устройства проектируемых изделий и объектов с обоснованием принятых технических решений (ПК-24);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 (ПК-25);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cs="Times New Roman"/>
        </w:rPr>
        <w:t>обучения по</w:t>
      </w:r>
      <w:proofErr w:type="gramEnd"/>
      <w:r>
        <w:rPr>
          <w:rFonts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8" w:name="Par200"/>
      <w:bookmarkEnd w:id="8"/>
      <w:r>
        <w:rPr>
          <w:rFonts w:cs="Times New Roman"/>
        </w:rPr>
        <w:t>VI. ТРЕБОВАНИЯ К СТРУКТУРЕ ПРОГРАММЫ МАГИСТРАТУРЫ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6.2. Программа магистратуры состоит из следующих блоков: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Блок 1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--------------------------------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&lt;1&gt; </w:t>
      </w:r>
      <w:hyperlink r:id="rId11" w:history="1">
        <w:r>
          <w:rPr>
            <w:rFonts w:cs="Times New Roman"/>
            <w:color w:val="0000FF"/>
          </w:rPr>
          <w:t>Подпункт 5.2.1</w:t>
        </w:r>
      </w:hyperlink>
      <w:r>
        <w:rPr>
          <w:rFonts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bookmarkStart w:id="9" w:name="Par210"/>
      <w:bookmarkEnd w:id="9"/>
      <w:r>
        <w:rPr>
          <w:rFonts w:cs="Times New Roman"/>
        </w:rPr>
        <w:t>Структура программы магистратуры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  <w:sectPr w:rsidR="00BC44A4" w:rsidSect="00E862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Таблица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5498"/>
        <w:gridCol w:w="2492"/>
      </w:tblGrid>
      <w:tr w:rsidR="00BC44A4"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Структура программы магистратуры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 программы магистратуры в зачетных единицах</w:t>
            </w:r>
          </w:p>
        </w:tc>
      </w:tr>
      <w:tr w:rsidR="00BC44A4"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Блок 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Дисциплины (модули)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51 - 68</w:t>
            </w:r>
          </w:p>
        </w:tc>
      </w:tr>
      <w:tr w:rsidR="00BC44A4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Базовая часть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17 - 23</w:t>
            </w:r>
          </w:p>
        </w:tc>
      </w:tr>
      <w:tr w:rsidR="00BC44A4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Вариативная часть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34 - 45</w:t>
            </w:r>
          </w:p>
        </w:tc>
      </w:tr>
      <w:tr w:rsidR="00BC44A4"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Блок 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Практики, в том числе научно-исследовательская работа (НИР)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43 - 63</w:t>
            </w:r>
          </w:p>
        </w:tc>
      </w:tr>
      <w:tr w:rsidR="00BC44A4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Вариативная часть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43 - 63</w:t>
            </w:r>
          </w:p>
        </w:tc>
      </w:tr>
      <w:tr w:rsidR="00BC44A4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Блок 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Государственная итоговая аттестация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6 - 9</w:t>
            </w:r>
          </w:p>
        </w:tc>
      </w:tr>
      <w:tr w:rsidR="00BC44A4"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Объем программы магистратуры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4A4" w:rsidRDefault="00BC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</w:tr>
    </w:tbl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  <w:sectPr w:rsidR="00BC44A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6.3. </w:t>
      </w:r>
      <w:proofErr w:type="gramStart"/>
      <w:r>
        <w:rPr>
          <w:rFonts w:cs="Times New Roman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6.4. Дисциплины (модули), относящиеся к вариативной части программы магистратуры, практики (в том числе НИР),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cs="Times New Roman"/>
        </w:rPr>
        <w:t>ВО</w:t>
      </w:r>
      <w:proofErr w:type="gramEnd"/>
      <w:r>
        <w:rPr>
          <w:rFonts w:cs="Times New Roman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6.5.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Типы учебной практики: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практика по получению первичных профессиональных умений и навыков.</w:t>
      </w:r>
    </w:p>
    <w:p w:rsidR="00BC44A4" w:rsidRPr="00242E9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FF0000"/>
        </w:rPr>
      </w:pPr>
      <w:bookmarkStart w:id="10" w:name="_GoBack"/>
      <w:r w:rsidRPr="00242E94">
        <w:rPr>
          <w:rFonts w:cs="Times New Roman"/>
          <w:color w:val="FF0000"/>
        </w:rPr>
        <w:t>Типы производственной практики:</w:t>
      </w:r>
    </w:p>
    <w:p w:rsidR="00BC44A4" w:rsidRPr="00242E9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FF0000"/>
        </w:rPr>
      </w:pPr>
      <w:r w:rsidRPr="00242E94">
        <w:rPr>
          <w:rFonts w:cs="Times New Roman"/>
          <w:color w:val="FF0000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практика).</w:t>
      </w:r>
    </w:p>
    <w:p w:rsidR="00BC44A4" w:rsidRPr="00242E9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FF0000"/>
        </w:rPr>
      </w:pPr>
      <w:r w:rsidRPr="00242E94">
        <w:rPr>
          <w:rFonts w:cs="Times New Roman"/>
          <w:color w:val="FF0000"/>
        </w:rPr>
        <w:t>Способы проведения учебной и производственной практик:</w:t>
      </w:r>
    </w:p>
    <w:p w:rsidR="00BC44A4" w:rsidRPr="00242E9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FF0000"/>
        </w:rPr>
      </w:pPr>
      <w:r w:rsidRPr="00242E94">
        <w:rPr>
          <w:rFonts w:cs="Times New Roman"/>
          <w:color w:val="FF0000"/>
        </w:rPr>
        <w:t>стационарная;</w:t>
      </w:r>
    </w:p>
    <w:p w:rsidR="00BC44A4" w:rsidRPr="00242E9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FF0000"/>
        </w:rPr>
      </w:pPr>
      <w:r w:rsidRPr="00242E94">
        <w:rPr>
          <w:rFonts w:cs="Times New Roman"/>
          <w:color w:val="FF0000"/>
        </w:rPr>
        <w:t>выездная.</w:t>
      </w:r>
    </w:p>
    <w:p w:rsidR="00BC44A4" w:rsidRPr="00242E9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FF0000"/>
        </w:rPr>
      </w:pPr>
      <w:r w:rsidRPr="00242E94">
        <w:rPr>
          <w:rFonts w:cs="Times New Roman"/>
          <w:color w:val="FF000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BC44A4" w:rsidRPr="00242E9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FF0000"/>
        </w:rPr>
      </w:pPr>
      <w:r w:rsidRPr="00242E94">
        <w:rPr>
          <w:rFonts w:cs="Times New Roman"/>
          <w:color w:val="FF0000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 w:rsidRPr="00242E94">
        <w:rPr>
          <w:rFonts w:cs="Times New Roman"/>
          <w:color w:val="FF0000"/>
        </w:rPr>
        <w:t>к</w:t>
      </w:r>
      <w:proofErr w:type="gramEnd"/>
      <w:r w:rsidRPr="00242E94">
        <w:rPr>
          <w:rFonts w:cs="Times New Roman"/>
          <w:color w:val="FF0000"/>
        </w:rPr>
        <w:t xml:space="preserve"> установленным настоящим ФГОС ВО.</w:t>
      </w:r>
    </w:p>
    <w:bookmarkEnd w:id="10"/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6.6. В Блок 3 "Государственная итоговая аттестация" входит защита </w:t>
      </w:r>
      <w:r>
        <w:rPr>
          <w:rFonts w:cs="Times New Roman"/>
        </w:rPr>
        <w:lastRenderedPageBreak/>
        <w:t>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6.8. </w:t>
      </w:r>
      <w:proofErr w:type="gramStart"/>
      <w:r>
        <w:rPr>
          <w:rFonts w:cs="Times New Roman"/>
        </w:rP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6.9.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6.10.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bookmarkStart w:id="11" w:name="Par254"/>
      <w:bookmarkEnd w:id="11"/>
      <w:r>
        <w:rPr>
          <w:rFonts w:cs="Times New Roman"/>
        </w:rPr>
        <w:t>VII. ТРЕБОВАНИЯ К УСЛОВИЯМ РЕАЛИЗАЦИИ</w:t>
      </w:r>
    </w:p>
    <w:p w:rsidR="00BC44A4" w:rsidRDefault="00BC44A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ПРОГРАММЫ МАГИСТРАТУРЫ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2" w:name="Par257"/>
      <w:bookmarkEnd w:id="12"/>
      <w:r>
        <w:rPr>
          <w:rFonts w:cs="Times New Roman"/>
        </w:rPr>
        <w:t>7.1. Общесистемные требования к реализации программы магистратуры.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Электронная информационно-образовательная среда организации должна обеспечивать: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>--------------------------------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&lt;1&gt; Федеральный </w:t>
      </w:r>
      <w:hyperlink r:id="rId12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N 23, ст. 2870; N 27, ст. 3479; N 52, ст. 6961, ст. 6963; 2014, N 19, ст. 2302; N 30, ст. 4223, ст. 4243), Федеральный </w:t>
      </w:r>
      <w:hyperlink r:id="rId13" w:history="1">
        <w:r>
          <w:rPr>
            <w:rFonts w:cs="Times New Roman"/>
            <w:color w:val="0000FF"/>
          </w:rPr>
          <w:t>закон</w:t>
        </w:r>
      </w:hyperlink>
      <w:r>
        <w:rPr>
          <w:rFonts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7.1.5. </w:t>
      </w:r>
      <w:proofErr w:type="gramStart"/>
      <w:r>
        <w:rPr>
          <w:rFonts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</w:t>
      </w:r>
      <w:r>
        <w:rPr>
          <w:rFonts w:cs="Times New Roman"/>
        </w:rPr>
        <w:lastRenderedPageBreak/>
        <w:t xml:space="preserve">установленным в Едином квалификационном справочнике должностей руководителей, специалистов и служащих, </w:t>
      </w:r>
      <w:hyperlink r:id="rId14" w:history="1">
        <w:r>
          <w:rPr>
            <w:rFonts w:cs="Times New Roman"/>
            <w:color w:val="0000FF"/>
          </w:rPr>
          <w:t>разделе</w:t>
        </w:r>
      </w:hyperlink>
      <w:r>
        <w:rPr>
          <w:rFonts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cs="Times New Roman"/>
        </w:rPr>
        <w:t xml:space="preserve"> 20237), и профессиональным стандартам (при наличии).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7.1.7. </w:t>
      </w:r>
      <w:proofErr w:type="gramStart"/>
      <w:r>
        <w:rPr>
          <w:rFonts w:cs="Times New Roman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cs="Times New Roman"/>
        </w:rPr>
        <w:t>Web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Science</w:t>
      </w:r>
      <w:proofErr w:type="spellEnd"/>
      <w:r>
        <w:rPr>
          <w:rFonts w:cs="Times New Roman"/>
        </w:rPr>
        <w:t xml:space="preserve"> или </w:t>
      </w:r>
      <w:proofErr w:type="spellStart"/>
      <w:r>
        <w:rPr>
          <w:rFonts w:cs="Times New Roman"/>
        </w:rPr>
        <w:t>Scopus</w:t>
      </w:r>
      <w:proofErr w:type="spellEnd"/>
      <w:r>
        <w:rPr>
          <w:rFonts w:cs="Times New Roman"/>
        </w:rPr>
        <w:t>, или не менее 20 в журналах, индексируемых в Российском индексе научного цитирования.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7.1.8. </w:t>
      </w:r>
      <w:proofErr w:type="gramStart"/>
      <w:r>
        <w:rPr>
          <w:rFonts w:cs="Times New Roman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&lt;1&gt; </w:t>
      </w:r>
      <w:hyperlink r:id="rId15" w:history="1">
        <w:r>
          <w:rPr>
            <w:rFonts w:cs="Times New Roman"/>
            <w:color w:val="0000FF"/>
          </w:rPr>
          <w:t>Пункт 4</w:t>
        </w:r>
      </w:hyperlink>
      <w:r>
        <w:rPr>
          <w:rFonts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3" w:name="Par279"/>
      <w:bookmarkEnd w:id="13"/>
      <w:r>
        <w:rPr>
          <w:rFonts w:cs="Times New Roman"/>
        </w:rPr>
        <w:t>7.2. Требования к кадровым условиям реализации программы магистратуры.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7.2.2. </w:t>
      </w:r>
      <w:proofErr w:type="gramStart"/>
      <w:r>
        <w:rPr>
          <w:rFonts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7.2.3. </w:t>
      </w:r>
      <w:proofErr w:type="gramStart"/>
      <w:r>
        <w:rPr>
          <w:rFonts w:cs="Times New Roman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>
        <w:rPr>
          <w:rFonts w:cs="Times New Roman"/>
        </w:rPr>
        <w:lastRenderedPageBreak/>
        <w:t>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75 процентов для программы академической магистратуры;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60 процентов для программы прикладной магистратуры.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7.2.4. </w:t>
      </w:r>
      <w:proofErr w:type="gramStart"/>
      <w:r>
        <w:rPr>
          <w:rFonts w:cs="Times New Roman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 процентов для программы академической магистратуры;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10 процентов для программы прикладной магистратуры.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7.2.5. </w:t>
      </w:r>
      <w:proofErr w:type="gramStart"/>
      <w:r>
        <w:rPr>
          <w:rFonts w:cs="Times New Roman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cs="Times New Roman"/>
        </w:rPr>
        <w:t xml:space="preserve"> научных журналах и изданиях, а также </w:t>
      </w:r>
      <w:proofErr w:type="gramStart"/>
      <w:r>
        <w:rPr>
          <w:rFonts w:cs="Times New Roman"/>
        </w:rPr>
        <w:t>осуществляющим</w:t>
      </w:r>
      <w:proofErr w:type="gramEnd"/>
      <w:r>
        <w:rPr>
          <w:rFonts w:cs="Times New Roman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4" w:name="Par290"/>
      <w:bookmarkEnd w:id="14"/>
      <w:r>
        <w:rPr>
          <w:rFonts w:cs="Times New Roman"/>
        </w:rPr>
        <w:t>7.3. Требования к материально-техническому и учебно-методическому обеспечению программ магистратуры.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Перечень материально-технического обеспечения, необходимого для реализации программы магистратуры, включает в себя лаборатории, </w:t>
      </w:r>
      <w:r>
        <w:rPr>
          <w:rFonts w:cs="Times New Roman"/>
        </w:rPr>
        <w:lastRenderedPageBreak/>
        <w:t>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 xml:space="preserve"> осваивать умения и навыки, предусмотренные профессиональной деятельностью.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ind w:firstLine="540"/>
        <w:outlineLvl w:val="2"/>
        <w:rPr>
          <w:rFonts w:cs="Times New Roman"/>
        </w:rPr>
      </w:pPr>
      <w:bookmarkStart w:id="15" w:name="Par302"/>
      <w:bookmarkEnd w:id="15"/>
      <w:r>
        <w:rPr>
          <w:rFonts w:cs="Times New Roman"/>
        </w:rPr>
        <w:t>7.4. Требования к финансовым условиям реализации программ магистратуры.</w:t>
      </w:r>
    </w:p>
    <w:p w:rsidR="00BC44A4" w:rsidRDefault="00BC44A4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7.4.1. </w:t>
      </w:r>
      <w:proofErr w:type="gramStart"/>
      <w:r>
        <w:rPr>
          <w:rFonts w:cs="Times New Roman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</w:t>
      </w:r>
      <w:r>
        <w:rPr>
          <w:rFonts w:cs="Times New Roman"/>
        </w:rPr>
        <w:lastRenderedPageBreak/>
        <w:t xml:space="preserve">соответствии с </w:t>
      </w:r>
      <w:hyperlink r:id="rId16" w:history="1">
        <w:r>
          <w:rPr>
            <w:rFonts w:cs="Times New Roman"/>
            <w:color w:val="0000FF"/>
          </w:rPr>
          <w:t>Методикой</w:t>
        </w:r>
      </w:hyperlink>
      <w:r>
        <w:rPr>
          <w:rFonts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BC44A4" w:rsidRDefault="00BC44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2B186C" w:rsidRDefault="002B186C"/>
    <w:sectPr w:rsidR="002B186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A4"/>
    <w:rsid w:val="00242E94"/>
    <w:rsid w:val="002B186C"/>
    <w:rsid w:val="00BC44A4"/>
    <w:rsid w:val="00E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0DADA0D1B873EE7A86E9D8E922C9AE2D60A27D2BF0303A06332D7B6d156H" TargetMode="External"/><Relationship Id="rId13" Type="http://schemas.openxmlformats.org/officeDocument/2006/relationships/hyperlink" Target="consultantplus://offline/ref=92D0DADA0D1B873EE7A86E9D8E922C9AE2D1082FD2B90303A06332D7B6d156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D0DADA0D1B873EE7A86E9D8E922C9AE2D10629D7BF0303A06332D7B6167CAA7101A84A3A26CD1DdA58H" TargetMode="External"/><Relationship Id="rId12" Type="http://schemas.openxmlformats.org/officeDocument/2006/relationships/hyperlink" Target="consultantplus://offline/ref=92D0DADA0D1B873EE7A86E9D8E922C9AE2D10B26D0B90303A06332D7B6d156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D0DADA0D1B873EE7A86E9D8E922C9AE2D20C2ED7B80303A06332D7B6167CAA7101A84A3A26CD18dA5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0DADA0D1B873EE7A86E9D8E922C9AE2D10B2DD3B10303A06332D7B6167CAA7101A84A3A26CD1FdA5BH" TargetMode="External"/><Relationship Id="rId11" Type="http://schemas.openxmlformats.org/officeDocument/2006/relationships/hyperlink" Target="consultantplus://offline/ref=92D0DADA0D1B873EE7A86E9D8E922C9AE2D10B2DD3B10303A06332D7B6167CAA7101A84A3A26CD1BdA5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D0DADA0D1B873EE7A86E9D8E922C9AE2D20E2AD1B00303A06332D7B6167CAA7101A84A3A26CD18dA5CH" TargetMode="External"/><Relationship Id="rId10" Type="http://schemas.openxmlformats.org/officeDocument/2006/relationships/hyperlink" Target="consultantplus://offline/ref=92D0DADA0D1B873EE7A86E9D8E922C9AE2D00E29D4B00303A06332D7B6167CAA7101A84A3A27CE1CdA5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D0DADA0D1B873EE7A86E9D8E922C9AE2D60A28D6BD0303A06332D7B6167CAA7101A84A3A26CC19dA5CH" TargetMode="External"/><Relationship Id="rId14" Type="http://schemas.openxmlformats.org/officeDocument/2006/relationships/hyperlink" Target="consultantplus://offline/ref=92D0DADA0D1B873EE7A86E9D8E922C9AE2D60C2BD6BE0303A06332D7B6167CAA7101A84A3A26CD18dA5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6480</Words>
  <Characters>36939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43333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2015-02-25T07:57:00Z</dcterms:created>
  <dcterms:modified xsi:type="dcterms:W3CDTF">2015-03-19T11:09:00Z</dcterms:modified>
</cp:coreProperties>
</file>